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Nemzetközi Energiaügynökség: a hagyományos hajtású szabadidőjárművek a legnagyobb szennyezők</w:t>
      </w:r>
    </w:p>
    <w:p>
      <w:r>
        <w:rPr>
          <w:sz w:val="22"/>
          <w:szCs w:val="22"/>
          <w:b/>
        </w:rPr>
        <w:t xml:space="preserve">A Nemzetközi Energiaügynökség szerint napjaink legdivatosabb karosszériatípusa rendkívül komoly ökológiai kockázati tényezővé vált, és a helyzet a közeljövőben csak súlyosbodni fog. Megoldást kizárólag az alternatív hajtásláncok széleskörű elterjedése jelenthet.</w:t>
      </w:r>
    </w:p>
    <w:p/>
    <w:p>
      <w:pPr>
        <w:spacing w:after="100"/>
      </w:pPr>
      <w:r>
        <w:rPr>
          <w:sz w:val="22"/>
          <w:szCs w:val="22"/>
        </w:rPr>
        <w:t xml:space="preserve">A Nemzetközi Energiaügynökség (IEA)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legújabb tanulmánya</w:t>
        </w:r>
      </w:hyperlink>
      <w:r>
        <w:rPr>
          <w:sz w:val="22"/>
          <w:szCs w:val="22"/>
        </w:rPr>
        <w:t xml:space="preserve">, a 2019-es World Energy Outlook meglehetősen komor képet fest az autóiparról, azon belül is a szabadidőjárművekről. A motortechnológia fejlődése ugyanis nem tud lépést tartani a crossoverekből adódó összesített emissziónövekedéssel.</w:t>
      </w:r>
    </w:p>
    <w:p>
      <w:pPr>
        <w:spacing w:after="100"/>
      </w:pPr>
    </w:p>
    <w:p>
      <w:r>
        <w:rPr>
          <w:sz w:val="22"/>
          <w:szCs w:val="22"/>
        </w:rPr>
        <w:t xml:space="preserve">Napi kétmillió hordó nyersolaj: az évtized elejéhez viszonyítva ennyivel fogyasztanak kevesebbet a világszerte üzemelő személyautók, köszönhetően a belső égésű technológiák folyamatos fejlesztésének. Ehhez jön még a villanyautók használatából adódó, napi százezer hordónyi megtakarítás. Ez utóbbi hamarosan többszörösére emelkedik: ha a világ húsz legnagyobb autógyártójának hosszú távú terveit vesszük számításba, </w:t>
      </w:r>
      <w:r>
        <w:rPr>
          <w:sz w:val="22"/>
          <w:szCs w:val="22"/>
          <w:b/>
        </w:rPr>
        <w:t xml:space="preserve">2030-ra megtízszereződnek az e-autó eladások, a jelenlegi kétmillióról évi húszmillió darabra.</w:t>
      </w:r>
      <w:r>
        <w:rPr>
          <w:sz w:val="22"/>
          <w:szCs w:val="22"/>
        </w:rPr>
        <w:t xml:space="preserve"> Ekkorra a villanyautók a globális járműállomány hét százalékát fogják kitenni, a jelenlegi fél százalék helyett – nyugodtan számolhatunk tehát az e-mobilitás részéről is napi 1,4 millió hordó mínusszal.</w:t>
      </w:r>
    </w:p>
    <w:p>
      <w:pPr>
        <w:spacing w:after="100"/>
      </w:pPr>
      <w:r>
        <w:rPr>
          <w:sz w:val="22"/>
          <w:szCs w:val="22"/>
          <w:b/>
        </w:rPr>
        <w:t xml:space="preserve">Ez sem elég azonban, hogy a hagyományos hajtású szabadidőjárművek által feleslegesen megtermelt extra széndioxidot ellensúlyozza.</w:t>
      </w:r>
      <w:r>
        <w:rPr>
          <w:sz w:val="22"/>
          <w:szCs w:val="22"/>
        </w:rPr>
        <w:t xml:space="preserve"> Nagyobb légellenállásuknak és szélesebb abroncsaiknak köszönhetően a hagyományos (benzin vagy dízel) hajtású szabadidőjárművek átlagosan 25 százalékkal fogyasztanak (és szennyeznek) többet, mint a családi autók. Mivel pedig a karosszériatípus és a kategória népszerűsége napról napra nő – az elmúlt évtized során megduplázódott a piaci részesedésük –, az általuk képviselt környezeti probléma is folyamatosan fokozódik. </w:t>
      </w:r>
      <w:r>
        <w:rPr>
          <w:sz w:val="22"/>
          <w:szCs w:val="22"/>
          <w:b/>
        </w:rPr>
        <w:t xml:space="preserve">Az IEA szerint a szabadidőjárművek mára a világgazdaság egyik legnagyobb ökológiai kockázati tényezőjévé váltak.</w:t>
      </w:r>
    </w:p>
    <w:p>
      <w:pPr>
        <w:spacing w:after="100"/>
      </w:pPr>
      <w:r>
        <w:rPr>
          <w:sz w:val="22"/>
          <w:szCs w:val="22"/>
        </w:rPr>
        <w:t xml:space="preserve">A világ SUV-állományának éves CO2-emissziója tíz év alatt több mint megnégyszereződött, és ezzel nagyobb mértékben járult hozzá a globális széndioxid-kibocsátás növekedéséhez, mint az energiaszektor kivételével bármely más ágazat, beleértve a nehézipart, az áruszállítást vagy akár a légiközlekedést!</w:t>
      </w:r>
    </w:p>
    <w:p>
      <w:pPr>
        <w:spacing w:after="100"/>
      </w:pPr>
    </w:p>
    <w:p>
      <w:r>
        <w:pict>
          <v:shape type="#_x0000_t75" style="width:600px;height:331.8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Miközben a tradicionális személyautók üzemanyag-fogyasztása (és CO2-kibocsátása) 2010 óta folyamatosan csökken, az autók napi nyersolaj-fogyasztása mégis 3,3 millió hordóval nőtt. Ezért az emelkedésért tehát teljes egészében a szabadidőjárművek felelősek. Ha a crossoverek térnyerése ugyanebben az ütemben folytatódik a következő évtizedben is, 2040-re további kétmillió hordóval nőhet a globális autóállomány napi kőolaj-felhasználása – ennek ellensúlyozásához csaknem 150 millió tisztán elektromos autóra volna szükség!</w:t>
      </w:r>
    </w:p>
    <w:p>
      <w:pPr>
        <w:spacing w:after="100"/>
      </w:pPr>
      <w:r>
        <w:rPr>
          <w:sz w:val="22"/>
          <w:szCs w:val="22"/>
          <w:b/>
        </w:rPr>
        <w:t xml:space="preserve">Jól látható tehát az IEA jelentéséből, hogy a villanyautók önmagukban képtelenek megállítani a szénkibocsátás romló tendenciáját. </w:t>
      </w:r>
      <w:r>
        <w:rPr>
          <w:sz w:val="22"/>
          <w:szCs w:val="22"/>
        </w:rPr>
        <w:t xml:space="preserve">Az is egyértelmű, hogy a legnagyobb problémát jelentő szabadidőjárművek terjedése megfékezhetetlen. </w:t>
      </w:r>
      <w:r>
        <w:rPr>
          <w:sz w:val="22"/>
          <w:szCs w:val="22"/>
          <w:b/>
        </w:rPr>
        <w:t xml:space="preserve">Az egyetlen megnyugtató megoldást a crossoverek és terepjárók részleges vagy teljes villamosítása jelenti:</w:t>
      </w:r>
      <w:r>
        <w:rPr>
          <w:sz w:val="22"/>
          <w:szCs w:val="22"/>
        </w:rPr>
        <w:t xml:space="preserve"> relatív széndioxid-kibocsátásuk ugyanis nagyságrendekkel csökkenhetne.</w:t>
      </w:r>
    </w:p>
    <w:p>
      <w:pPr>
        <w:spacing w:after="100"/>
      </w:pPr>
      <w:r>
        <w:rPr>
          <w:sz w:val="22"/>
          <w:szCs w:val="22"/>
        </w:rPr>
        <w:t xml:space="preserve">Szerencsére ma már egyre több gyártó ismeri fel ennek jelentőségét, részben levéve ezzel a Toyota-csoport válláról a felelősségnek azt a terhét, amelyet több mint 15 éven át cipelt gyakorlatilag egyedül a szegmensben. A világ első hibrid szabadidőjárművének, a 2005-ös Lexus RX 400h-nak a globális bevezetésével a cégcsoport úttörő szerepet vállalt a piacon, bebizonyítva, hogy igenis lehetséges egyszerre kielégíteni az ügyfelek és a környezet követelményeit.</w:t>
      </w:r>
    </w:p>
    <w:p>
      <w:pPr>
        <w:spacing w:after="100"/>
      </w:pPr>
      <w:r>
        <w:rPr>
          <w:sz w:val="22"/>
          <w:szCs w:val="22"/>
          <w:b/>
        </w:rPr>
        <w:t xml:space="preserve">Az iparágban egyedüliként a Toyota és a Lexus márkák globális szabadidőjármű-palettájának minden egyes tagja elérhető öntöltő hibrid hajtáslánccal. </w:t>
      </w:r>
      <w:r>
        <w:rPr>
          <w:sz w:val="22"/>
          <w:szCs w:val="22"/>
        </w:rPr>
        <w:t xml:space="preserve">A Toyota C-HR és RAV4, valamint a Lexus UX, NX és RX benzin-elektromos hajtásláncai a dízelmotorokhoz mérhetően csekély CO2-kibocsátással üzemelnek, nitrogén-oxid és koromrészecske kibocsátásuk pedig messze elmarad azoktól. A cégcsoport hibrid típusai minden várakozást felülmúló népszerűségnek örvendenek (a Toyota-konszern már 2017-ben elérte azt az eredetileg 2020-ra kitűzött célját, hogy évente több mint másfélmillió villamosított – hibrid, plug-in hibrid, elektromos vagy üzemanyagcellás – járművet értékesítsen világszerte).</w:t>
      </w:r>
    </w:p>
    <w:p>
      <w:pPr>
        <w:spacing w:after="100"/>
      </w:pPr>
      <w:r>
        <w:rPr>
          <w:sz w:val="22"/>
          <w:szCs w:val="22"/>
        </w:rPr>
        <w:t xml:space="preserve">A jövőben pedig ezek az erőfeszítések még inkább kiszélesednek: a Toyota és a Lexus is megkezdi a hálózatról tölthető (PHEV és BEV) modellek piaci bevezetését, miközben folyamatosan fejleszti tovább hibrid, illetve hidrogén üzemanyagcellás technológiáit.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carbonbrief.org, MTI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iea.org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https://news.smartermedia.hu/nemzetkozi-hirek/nemzetkozi-energiaugynokseg-hagyomanyos-hajtasu-szabadidojarmuvek-legnagyobb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iea.org/newsroom/news/2019/october/growing-preference-for-suvs-challenges-emissions-reductions-in-passenger-car-mark.htm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2026-07-23T02:28:34+02:00</dcterms:created>
  <dcterms:modified xsi:type="dcterms:W3CDTF">2026-07-23T02:28:34+02:00</dcterms:modified>
  <dc:title/>
  <dc:description/>
  <dc:subject/>
  <cp:keywords/>
  <cp:category/>
</cp:coreProperties>
</file>