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haszonjármű a Toyotától</w:t>
      </w:r>
    </w:p>
    <w:p>
      <w:r>
        <w:rPr>
          <w:sz w:val="22"/>
          <w:szCs w:val="22"/>
          <w:b/>
        </w:rPr>
        <w:t xml:space="preserve">A másfél évvel ezelőtt bevezetett Land Cruiser Commercial piaci sikerén felbuzdulva az újévben egy gazdagabb felszereltségű variánssal, a Land Cruiser Commercial Active modellel bővíti palettáját egyes európai piacain a Toyota.</w:t>
      </w:r>
    </w:p>
    <w:p/>
    <w:p>
      <w:pPr>
        <w:spacing w:after="100"/>
      </w:pPr>
      <w:r>
        <w:rPr>
          <w:sz w:val="22"/>
          <w:szCs w:val="22"/>
        </w:rPr>
        <w:t xml:space="preserve">A tavaly bevezetett Toyota Land Cruiser Commercial évtizedeken át tökéletesített terepképességeket vezetett be a haszonjármű-piacra, most bemutatott verziója pedig az ikonikus terepjáró fényűzését örökíti át az áruszállítás világába.</w:t>
      </w:r>
    </w:p>
    <w:p>
      <w:pPr>
        <w:spacing w:after="100"/>
      </w:pPr>
      <w:r>
        <w:rPr>
          <w:sz w:val="22"/>
          <w:szCs w:val="22"/>
        </w:rPr>
        <w:t xml:space="preserve">Ha a világ végére, úttalan utakon át kell eljuttatni árut, nincs jobb választás a legendás terepképességekkel bíró Toyota Land Cruiser Commercial haszonjárműnél. A típus offroad alkalmasságáról olyan műszaki elemek gondoskodnak, mint a bőséges forgatónyomatékú, 2.8 literes dízelmotor, a központi Torsen differenciálművel felszerelt, állandó összkerékhajtás, a felező, a bőséges szabad hasmagasság, a kiváló terepszögek vagy a létraváz különleges, ferde kialakítású kereszttartói, amelyeknek köszönhetően a jármű nem akad fenn a terepakadályokon. A hasznos terhelhetőség a kiviteltől (rövid vagy hosszú tengelytáv) függően 593/756 kilogramm, a legnagyobb vontatható tömeg három tonna.</w:t>
      </w:r>
    </w:p>
    <w:p>
      <w:pPr>
        <w:spacing w:after="100"/>
      </w:pPr>
      <w:r>
        <w:rPr>
          <w:sz w:val="22"/>
          <w:szCs w:val="22"/>
        </w:rPr>
        <w:t xml:space="preserve">A 2020 márciusában piacra lépő, nagyobb presztízsű újonc ugyanúgy három- és ötajtós kivitelben lesz elérhető, mint az alapmodell, motorja is ugyanaz a 177 lóerős négyhengeres. A hatfokozatú kézi sebességváltó helyére azonban a személyszállító modellről már ismert, hatfokozatú automata sebességváltót szerelték be, és ezzel összefüggésben a motor forgatónyomatékát 420-ról 450 Nm-re emelték.</w:t>
      </w:r>
    </w:p>
    <w:p>
      <w:pPr>
        <w:spacing w:after="100"/>
      </w:pPr>
      <w:r>
        <w:rPr>
          <w:sz w:val="22"/>
          <w:szCs w:val="22"/>
        </w:rPr>
        <w:t xml:space="preserve">Már eddig is elérhető volt a tempomat, a Bluetooth mobiltelefon-csatlakoztatás, a kulcs nélküli nyitás és indítás, valamint az automata fényszóróvezérlés. Az Active kivitel azonban kényelmében és stílusában is magasabb szintet képvisel. A 17 colos keréktárcsákat 19 colos, ezüstszínű, hatküllős kerekekre cserélték, a külső kilincseket és tükörházakat a karosszéria színére fényezték. A komfortot kétzónás automata klímaberendezés, kilenc hangszórós, digitális rádióvevős audiorendszer, valamint 8 colos érintőképernyővel szerelt Toyota Touch 2 multimédiás rendszer fokozza. Fontos, praktikus extra a tolatóradar és -kamera, a visszagurulásgátló, valamint az ereszkedésszabályozó. A gazdagabb felszereltségű terep-haszonjármű felszereltsége navigációs rendszerrel, vonóhoroggal, valamint a rakodás során előforduló sérülésektől óvó lökhárító-védőelemmel is kiegészíthető.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Land Cruiser Commercial Utility</w:t>
            </w:r>
          </w:p>
          <w:p>
            <w:r>
              <w:rPr>
                <w:sz w:val="22"/>
                <w:szCs w:val="22"/>
                <w:b/>
              </w:rPr>
              <w:t xml:space="preserve">(3/5 ajtós)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Land Cruiser Commercial Active</w:t>
            </w:r>
          </w:p>
          <w:p>
            <w:r>
              <w:rPr>
                <w:sz w:val="22"/>
                <w:szCs w:val="22"/>
                <w:b/>
              </w:rPr>
              <w:t xml:space="preserve">(3/5 ajtós)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első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középső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hátsó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Gázlómélység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sugara, padkánál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245/70R17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265/55R19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Raktér térfogata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térfogata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Négyhengeres, közös nyomócsöves, DOHC turbódízel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Négyhengeres, közös nyomócsöves, DOHC turbódízel 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 (3400/perc)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 (3400/perc)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420 (1400-2600/perc)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(1600-2400/perc)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kézi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üa.-fogyasztás (l/100 km),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8,9-10,3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9,5-10,3*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CO2-kibocsátás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1975/2225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2600/2930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vontatható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 (750)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 (750)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 a személyszállító kivitel adatai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parkers.co.uk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https://news.smartermedia.hu/nemzetkozi-hirek/fenyuzo-haszonjarmu-a-toyotatol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2026-08-29T12:41:06+02:00</dcterms:created>
  <dcterms:modified xsi:type="dcterms:W3CDTF">2026-08-29T12:41:06+02:00</dcterms:modified>
  <dc:title/>
  <dc:description/>
  <dc:subject/>
  <cp:keywords/>
  <cp:category/>
</cp:coreProperties>
</file>