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Nanorészecskék, hipermodern fényezési eljárás, űrtechnológiás hőszabályozás: mostantól bárki hozzáférhet a Toyota szellemi termékeihez</w:t>
      </w:r>
    </w:p>
    <w:p>
      <w:r>
        <w:rPr>
          <w:sz w:val="22"/>
          <w:szCs w:val="22"/>
          <w:b/>
        </w:rPr>
        <w:t xml:space="preserve">A világ egyik leginnovatívabb vállalataként a Toyota különleges projektbe fogott: autóipari szabadalmait százszámra nyitja meg olyan, potenciális partnerek előtt, akikkel együttműködve szélesebb körben is kamatoztatni remélik a fejlesztésekben rejlő lehetőségeket.</w:t>
      </w:r>
    </w:p>
    <w:p/>
    <w:p>
      <w:pPr>
        <w:spacing w:after="100"/>
      </w:pPr>
      <w:r>
        <w:rPr>
          <w:sz w:val="22"/>
          <w:szCs w:val="22"/>
        </w:rPr>
        <w:t xml:space="preserve">Legyen szó környezetbarát bútorviaszról, víztisztító rendszerekről, hosszú élettartamú, nagyteljesítményű elektronikus berendezésekről vagy látványos divatcikkekről, a közeljövőben váratlan területeken találkozhatunk a Toyota autóipari fejlesztéseivel. Az iparágakon átívelő együttműködést az autógyártó frissen útjára indított programja teszi lehetővé, amely négy speciális szakterületen teszi elérhetővé a Toyota szellemi termékeit a hozzá hasonlóan innovatív kutatási és fejlesztési partnerek számára.</w:t>
      </w:r>
    </w:p>
    <w:p>
      <w:pPr>
        <w:spacing w:after="100"/>
      </w:pPr>
      <w:r>
        <w:rPr>
          <w:sz w:val="22"/>
          <w:szCs w:val="22"/>
        </w:rPr>
        <w:t xml:space="preserve">Kevés vállalat létezik a világon, amely több ipari szabadalmat jegyeztetne be a Toyotánál. A cég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2019-es Patent 300 lista</w:t>
        </w:r>
      </w:hyperlink>
      <w:r>
        <w:rPr>
          <w:sz w:val="22"/>
          <w:szCs w:val="22"/>
        </w:rPr>
        <w:t xml:space="preserve"> tanúsága szerint az észak-amerikai vállalatok szabadalmi rangsorában az abszolút hatodik helyen áll, az autógyártók között pedig messze az élen végzett. </w:t>
      </w:r>
      <w:r>
        <w:rPr>
          <w:sz w:val="22"/>
          <w:szCs w:val="22"/>
          <w:b/>
        </w:rPr>
        <w:t xml:space="preserve">A vállalat globális szabadalmainak száma már az évtized elején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meghaladta a negyedmilliót</w:t>
        </w:r>
      </w:hyperlink>
      <w:r>
        <w:rPr>
          <w:sz w:val="22"/>
          <w:szCs w:val="22"/>
        </w:rPr>
        <w:t xml:space="preserve">, a cég észak-amerikai részlegei óránként (!) több mint egymillió dollárt fordítanak kutatási és fejlesztési célra. A szabadalmak túlnyomórészt a cég autóipari tevékenységeihez kapcsolódnak, ám ez nem jelenti azt, hogy ne lehetne azokat más területeken is hasznosítani, továbbfejleszteni.</w:t>
      </w:r>
    </w:p>
    <w:p>
      <w:pPr>
        <w:spacing w:after="100"/>
      </w:pPr>
      <w:r>
        <w:rPr>
          <w:sz w:val="22"/>
          <w:szCs w:val="22"/>
          <w:b/>
        </w:rPr>
        <w:t xml:space="preserve">Ebből kiindulva hozta létre a vállalat a Toyota IP Solutions programot</w:t>
      </w:r>
      <w:r>
        <w:rPr>
          <w:sz w:val="22"/>
          <w:szCs w:val="22"/>
        </w:rPr>
        <w:t xml:space="preserve">, amely a cég szellemi termékeinek licensz alapú felhasználását teszi lehetővé érdekelt partnerek számára. Első körben négy olyan témakörben várja a potenciális együttműködőket, amelyeknek az élet számos területén van létjogosultsága.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többirányú szerkezeti színek</w:t>
      </w:r>
      <w:r>
        <w:rPr>
          <w:sz w:val="22"/>
          <w:szCs w:val="22"/>
        </w:rPr>
        <w:t xml:space="preserve"> terén végzett kutatások nyomán létrehozható anyagok különlegessége, hogy </w:t>
      </w:r>
      <w:r>
        <w:rPr>
          <w:sz w:val="22"/>
          <w:szCs w:val="22"/>
          <w:b/>
        </w:rPr>
        <w:t xml:space="preserve">a rájuk eső fény csaknem száz százalékát visszaverik, ami különösen mély, ragyogó színeket eredményez.</w:t>
      </w:r>
      <w:r>
        <w:rPr>
          <w:sz w:val="22"/>
          <w:szCs w:val="22"/>
        </w:rPr>
        <w:t xml:space="preserve"> Az ilyen anyagokat nemcsak a karosszéria fényezésénél, hanem a divatiparban, a kiegészítők és sportfelszerelések gyártásánál, de akár a háztartási festékanyagok fejlesztésénél is felhasználhatják.</w:t>
      </w:r>
    </w:p>
    <w:p>
      <w:pPr>
        <w:spacing w:after="100"/>
      </w:pPr>
      <w:r>
        <w:rPr>
          <w:sz w:val="22"/>
          <w:szCs w:val="22"/>
        </w:rPr>
        <w:t xml:space="preserve">Egy másik kijelölt terület </w:t>
      </w:r>
      <w:r>
        <w:rPr>
          <w:sz w:val="22"/>
          <w:szCs w:val="22"/>
          <w:b/>
        </w:rPr>
        <w:t xml:space="preserve">a bioaktív tisztítószerek</w:t>
      </w:r>
      <w:r>
        <w:rPr>
          <w:sz w:val="22"/>
          <w:szCs w:val="22"/>
        </w:rPr>
        <w:t xml:space="preserve">é: </w:t>
      </w:r>
      <w:r>
        <w:rPr>
          <w:sz w:val="22"/>
          <w:szCs w:val="22"/>
          <w:b/>
        </w:rPr>
        <w:t xml:space="preserve">a vegyszerek helyett enzimekkel dolgozó anyagokat </w:t>
      </w:r>
      <w:r>
        <w:rPr>
          <w:sz w:val="22"/>
          <w:szCs w:val="22"/>
        </w:rPr>
        <w:t xml:space="preserve">eredetileg </w:t>
      </w:r>
      <w:r>
        <w:rPr>
          <w:sz w:val="22"/>
          <w:szCs w:val="22"/>
          <w:b/>
        </w:rPr>
        <w:t xml:space="preserve">szélvédők tisztán tartására</w:t>
      </w:r>
      <w:r>
        <w:rPr>
          <w:sz w:val="22"/>
          <w:szCs w:val="22"/>
        </w:rPr>
        <w:t xml:space="preserve">, bogártetemek eltávolítására </w:t>
      </w:r>
      <w:r>
        <w:rPr>
          <w:sz w:val="22"/>
          <w:szCs w:val="22"/>
          <w:b/>
        </w:rPr>
        <w:t xml:space="preserve">fejlesztették ki</w:t>
      </w:r>
      <w:r>
        <w:rPr>
          <w:sz w:val="22"/>
          <w:szCs w:val="22"/>
        </w:rPr>
        <w:t xml:space="preserve">, de tökéletesen alkalmasak védőbevonatok képzésére is. Ennél is szélesebb felhasználási kört ígér a </w:t>
      </w:r>
      <w:r>
        <w:rPr>
          <w:sz w:val="22"/>
          <w:szCs w:val="22"/>
          <w:b/>
        </w:rPr>
        <w:t xml:space="preserve">nanoanyag-gyártás</w:t>
      </w:r>
      <w:r>
        <w:rPr>
          <w:sz w:val="22"/>
          <w:szCs w:val="22"/>
        </w:rPr>
        <w:t xml:space="preserve">: a Toyota által kidolgozott módszerekkel </w:t>
      </w:r>
      <w:r>
        <w:rPr>
          <w:sz w:val="22"/>
          <w:szCs w:val="22"/>
          <w:b/>
        </w:rPr>
        <w:t xml:space="preserve">gyakorlatilag bármilyen anyagból költséghatékonyan és rugalmasan készíthetők nagy tisztaságú nanorészecskék</w:t>
      </w:r>
      <w:r>
        <w:rPr>
          <w:sz w:val="22"/>
          <w:szCs w:val="22"/>
        </w:rPr>
        <w:t xml:space="preserve">, amelyek aztán mágnesektől kezdve orvosi műszereken át kistömegű szerkezeti anyagok fejlesztéséig felhasználhatók.</w:t>
      </w:r>
    </w:p>
    <w:p>
      <w:pPr>
        <w:spacing w:after="100"/>
      </w:pPr>
      <w:r>
        <w:rPr>
          <w:sz w:val="22"/>
          <w:szCs w:val="22"/>
          <w:b/>
        </w:rPr>
        <w:t xml:space="preserve">A negyedik, felszabadított szabadalmi terület az elektronikai hőszabályozás:</w:t>
      </w:r>
      <w:r>
        <w:rPr>
          <w:sz w:val="22"/>
          <w:szCs w:val="22"/>
        </w:rPr>
        <w:t xml:space="preserve"> a nagyteljesítményű elektronikus rendszerek hűtésére szolgáló megoldások nélkül elképzelhetetlen volna a fejlődés nem csupán a szórakoztató elektronika terén, de a bányászatban, az űrkutatásban és az adatgazdálkodásban is.</w:t>
      </w:r>
    </w:p>
    <w:p>
      <w:pPr>
        <w:spacing w:after="100"/>
      </w:pPr>
      <w:r>
        <w:rPr>
          <w:sz w:val="22"/>
          <w:szCs w:val="22"/>
          <w:b/>
        </w:rPr>
        <w:t xml:space="preserve">A Toyota IP Solutions program a jövőben folyamatosan bővíti a külső felek számára elérhető szabadalmi területek körét.</w:t>
      </w:r>
      <w:r>
        <w:rPr>
          <w:sz w:val="22"/>
          <w:szCs w:val="22"/>
        </w:rPr>
        <w:t xml:space="preserve"> A Toyota nem először osztja meg a világgal műszaki tudását: nem egészen egy éve közel 24 ezer, hibrid hajtástechnológiához kapcsolódó szabadalmi bejegyzését szabadított fel, és tette elérhetővé más autógyártók számára, hogy felgyorsítsa a mobilitás környezetvédelmi szempontból elodázhatatlan villamosítási folyamatát.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https://news.smartermedia.hu/innovacio/nanoreszecskek-hipermodern-fenyezesi-eljaras-urtechnologias-hoszabalyozas-mostantol-barki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harrityllp.com/toyota-tops-auto-market-in-the-2019-patent-300-report/" TargetMode="External"/>
  <Relationship Id="rId8" Type="http://schemas.openxmlformats.org/officeDocument/2006/relationships/hyperlink" Target="https://www.toyota-global.com/company/history_of_toyota/75years/data/automotive_business/products_technology/research/intellectual_property/details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2026-09-18T18:57:24+02:00</dcterms:created>
  <dcterms:modified xsi:type="dcterms:W3CDTF">2026-09-18T18:57:24+02:00</dcterms:modified>
  <dc:title/>
  <dc:description/>
  <dc:subject/>
  <cp:keywords/>
  <cp:category/>
</cp:coreProperties>
</file>