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alatt megkétszerezte globális eladásait a Lexus, Európa a harmadik legfontosabb piac</w:t>
      </w:r>
    </w:p>
    <w:p>
      <w:r>
        <w:rPr>
          <w:sz w:val="22"/>
          <w:szCs w:val="22"/>
          <w:b/>
        </w:rPr>
        <w:t xml:space="preserve">Minden idők legjobb évét zárta tavaly a Lexus. A luxusmárka összesített eredménye alapján világszerte tíz százalékkal több autót adott el, mint egy évvel korábban. Régiós szinten Európa büszkélkedhet a második legjobb növekedési eredménnyel. </w:t>
      </w:r>
    </w:p>
    <w:p/>
    <w:p>
      <w:pPr>
        <w:spacing w:after="100"/>
      </w:pPr>
      <w:r>
        <w:rPr>
          <w:sz w:val="22"/>
          <w:szCs w:val="22"/>
        </w:rPr>
        <w:t xml:space="preserve">Kivétel nélkül minden piacán stabilan tartotta magát vagy dinamikusan növekedett a Lexus 2019 során, és ezzel fennállásának legjobb évét tudhatja maga mögött. A japán luxusmárka 765 330 gépkocsit adott el világszerte, 9,6 százalékkal többet, mint 2018-ban, és szinte hajszálra pontosan kétszer annyit, mint 2009-ben. Az új eladási rekorddal méltó módon ünnepelte meg 30. születésnapját a Lexus.</w:t>
      </w:r>
    </w:p>
    <w:p>
      <w:pPr>
        <w:spacing w:after="100"/>
      </w:pPr>
      <w:r>
        <w:rPr>
          <w:sz w:val="22"/>
          <w:szCs w:val="22"/>
        </w:rPr>
        <w:t xml:space="preserve">A márka legnagyobb piaca továbbra is az Amerikai Egyesült Államok, ahol nagyságrendileg ugyanannyi, 325 ezer autót adott el a Lexus, mint 2018-ban. Kína jelentősége dinamikusan nő a márka életében, a Kínai Népköztársaság és Hong Kong piacain tavaly 202 ezer Lexus talált gazdára, 25 százalékkal több, mint egy évvel korábban. Európa 14 százalékos növekedést könyvelhetett el (87 000 db), ezzel a régiók közül a második legjobb eredményt könyvelhette el. Japánban hasonló mértékben (+13%) nőttek az eladások (62 000 db). Kelet-Ázsiában (34 000 db) és a Közel-Keleten (32 000 db) egyaránt nyolc százalék volt a növekedés mértéke.</w:t>
      </w:r>
    </w:p>
    <w:p>
      <w:pPr>
        <w:spacing w:after="100"/>
      </w:pPr>
    </w:p>
    <w:p>
      <w:r>
        <w:pict>
          <v:shape type="#_x0000_t75" style="width:600px;height:345.93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globális eladásai először 2007-ben, a gazdasági világválságot megelőző évben érték el a félmilliós álomhatárt. A márka forgalma 2011-től ismét emelkedni kezdett, 2013-ban új csúcsot értek el, amit azóta (2017 kivételével) minden egyes évben újra és újra megdöntött a Lexus.</w:t>
      </w:r>
    </w:p>
    <w:p>
      <w:pPr>
        <w:spacing w:after="100"/>
      </w:pPr>
    </w:p>
    <w:p>
      <w:r>
        <w:pict>
          <v:shape type="#_x0000_t75" style="width:600px;height:37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2020 és az azt követő évek minden szempontból izgalmas időszaknak ígérkezik a Lexus számára. A hibridek évtizedes egyeduralma – tavaly minden harmadik Lexust hibrid hajtáslánccal vásároltak meg a világon, Európában pedig 90 százalékos volt a hibrid hajtás aránya – után ugyanis jönnek a teljesen emissziómentes közlekedésre alkalmas típusok, amelyek új piacokat nyithatnak meg a márka előtt.</w:t>
      </w:r>
    </w:p>
    <w:p>
      <w:pPr>
        <w:spacing w:after="100"/>
      </w:pPr>
      <w:r>
        <w:rPr>
          <w:sz w:val="22"/>
          <w:szCs w:val="22"/>
        </w:rPr>
        <w:t xml:space="preserve">Ezek között lesznek akkumulátoros modellek – elsőként az UX300e –, de belátható időn belül érkezik a márka első hidrogén üzemanyagcellás autója is. A Lexus LS FCEV prototípusát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jelenleg tesztelik</w:t>
        </w:r>
      </w:hyperlink>
      <w:r>
        <w:rPr>
          <w:sz w:val="22"/>
          <w:szCs w:val="22"/>
        </w:rPr>
        <w:t xml:space="preserve"> az Egyesült Államokban, piaci bevezetésére már 2021-ben sor kerülhet.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Lexus, 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https://news.smartermedia.hu/nemzetkozi-hirek/tiz-ev-alatt-megketszerezte-globalis-eladasait-lexus-europa-harmadik-legfontosabb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news.smartermedia.hu/innovacio/ket-even-belul-erkezik-vilag-elso-hidrogen-uzemanyagcellas-luxus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2026-10-31T22:41:06+01:00</dcterms:created>
  <dcterms:modified xsi:type="dcterms:W3CDTF">2026-10-31T22:41:06+01:00</dcterms:modified>
  <dc:title/>
  <dc:description/>
  <dc:subject/>
  <cp:keywords/>
  <cp:category/>
</cp:coreProperties>
</file>