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hosszú boldogság titka: íme azok az autók, amelyekkel örökké tart a szerelem</w:t>
      </w:r>
    </w:p>
    <w:p>
      <w:r>
        <w:rPr>
          <w:sz w:val="22"/>
          <w:szCs w:val="22"/>
          <w:b/>
        </w:rPr>
        <w:t xml:space="preserve">Egy autópiaci elemzésekre szakosodott szervezet megvizsgálta, mely típusokat használják legtovább gazdáik. A listavezetők között igazi matuzsálemek is akadnak; aki viszont arra számít, hogy az élbolyban sok márka képviselteti magát, csalódni fog.</w:t>
      </w:r>
    </w:p>
    <w:p/>
    <w:p>
      <w:pPr>
        <w:spacing w:after="100"/>
      </w:pPr>
      <w:r>
        <w:rPr>
          <w:sz w:val="22"/>
          <w:szCs w:val="22"/>
        </w:rPr>
        <w:t xml:space="preserve">Értéktartás, megbízhatóság, tartósság, fenntartási költségek, modern műszaki tartalom, vonzó megjelenés és persze az igényeinknek megfelelő, mindennapi praktikum: számos tényező befolyásolhatja, hogy hány éven át használjuk autónkat. Egy ideális világban akkor cseréljük le a járművet, ha az ellene szóló (anyagi, gyakorlati és érzelmi jellegű) érvek meghaladják a mellette szólókat. Amíg az utóbbiak vannak túlsúlyban, akár örök hűséget is fogadhatunk autónknak – és a jelek szerint ez nem csupán elmélet.</w:t>
      </w:r>
    </w:p>
    <w:p>
      <w:pPr>
        <w:spacing w:after="100"/>
      </w:pPr>
      <w:r>
        <w:rPr>
          <w:sz w:val="22"/>
          <w:szCs w:val="22"/>
        </w:rPr>
        <w:t xml:space="preserve">Az autópiaci elemzésekre és kutatásokra szakosodott iSeeCars.com </w:t>
      </w:r>
      <w:hyperlink r:id="rId7" w:history="1">
        <w:r>
          <w:rPr>
            <w:color w:val="0000FF"/>
            <w:sz w:val="22"/>
            <w:szCs w:val="22"/>
            <w:b/>
            <w:u w:val="single"/>
          </w:rPr>
          <w:t xml:space="preserve">arra volt kíváncsi</w:t>
        </w:r>
      </w:hyperlink>
      <w:r>
        <w:rPr>
          <w:sz w:val="22"/>
          <w:szCs w:val="22"/>
        </w:rPr>
        <w:t xml:space="preserve">, hogy az egyes típusok hány százalékánál fordul elő, hogy tulajdonosa legalább 15 éven át használja. Az Egyesült Államokban 2019 folyamán meghirdetett használt autók közül 350 ezer olyan járművet találtak, amelyeket 1981 és 2004 között helyeztek forgalomba (azaz a vizsgálat idején 15-38 évesek voltak.) Ezután megnézték, az adott típus összállományának hány százalékát teszik ki ezek az idős példányok. Az átlag 7,7 százalék volt (azaz minden 13. autó esett bele a keresett korsávba), ám a legjobbak között ennél jóval gyakrabban fordultak elő matuzsálemek.</w:t>
      </w:r>
    </w:p>
    <w:p>
      <w:pPr>
        <w:spacing w:after="100"/>
      </w:pPr>
      <w:r>
        <w:rPr>
          <w:sz w:val="22"/>
          <w:szCs w:val="22"/>
        </w:rPr>
        <w:t xml:space="preserve">Az elemezőknek nem volt nehéz szabályszerűséget felfedezniük az adatokban: a lista élén szereplő 15 típus közül tízet a Toyota gyártott. Az alábbi táblázat második oszlopában szereplő százalékos érték azt jelzi, az eredeti tulajdonos mekkora hányada használta több mint 15 éven át autóját.</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Modell</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15+ éves autók aránya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Highlander</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18,3%</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Sienna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15,5%</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Tacoma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14,5%</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Tundra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14,2%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Subaru Forester</w:t>
            </w:r>
          </w:p>
        </w:tc>
        <w:tc>
          <w:tcPr>
            <w:tcW w:w="800" w:type="dxa"/>
            <w:tcBorders>
              <w:top w:val="single" w:sz="10" w:color="000000"/>
              <w:left w:val="single" w:sz="10" w:color="000000"/>
              <w:right w:val="single" w:sz="10" w:color="000000"/>
              <w:bottom w:val="single" w:sz="10" w:color="000000"/>
            </w:tcBorders>
          </w:tcPr>
          <w:p>
            <w:r>
              <w:rPr>
                <w:sz w:val="22"/>
                <w:szCs w:val="22"/>
              </w:rPr>
              <w:t xml:space="preserve">12,8%</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6.</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RAV4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12,7%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7.</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Pilot</w:t>
            </w:r>
          </w:p>
        </w:tc>
        <w:tc>
          <w:tcPr>
            <w:tcW w:w="800" w:type="dxa"/>
            <w:tcBorders>
              <w:top w:val="single" w:sz="10" w:color="000000"/>
              <w:left w:val="single" w:sz="10" w:color="000000"/>
              <w:right w:val="single" w:sz="10" w:color="000000"/>
              <w:bottom w:val="single" w:sz="10" w:color="000000"/>
            </w:tcBorders>
          </w:tcPr>
          <w:p>
            <w:r>
              <w:rPr>
                <w:sz w:val="22"/>
                <w:szCs w:val="22"/>
              </w:rPr>
              <w:t xml:space="preserve">12,6%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8.</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CR-V</w:t>
            </w:r>
          </w:p>
        </w:tc>
        <w:tc>
          <w:tcPr>
            <w:tcW w:w="800" w:type="dxa"/>
            <w:tcBorders>
              <w:top w:val="single" w:sz="10" w:color="000000"/>
              <w:left w:val="single" w:sz="10" w:color="000000"/>
              <w:right w:val="single" w:sz="10" w:color="000000"/>
              <w:bottom w:val="single" w:sz="10" w:color="000000"/>
            </w:tcBorders>
          </w:tcPr>
          <w:p>
            <w:r>
              <w:rPr>
                <w:sz w:val="22"/>
                <w:szCs w:val="22"/>
              </w:rPr>
              <w:t xml:space="preserve">12,4%</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9.</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Prius</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11,9%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4Runner</w:t>
            </w:r>
          </w:p>
        </w:tc>
        <w:tc>
          <w:tcPr>
            <w:tcW w:w="800" w:type="dxa"/>
            <w:tcBorders>
              <w:top w:val="single" w:sz="10" w:color="000000"/>
              <w:left w:val="single" w:sz="10" w:color="000000"/>
              <w:right w:val="single" w:sz="10" w:color="000000"/>
              <w:bottom w:val="single" w:sz="10" w:color="000000"/>
            </w:tcBorders>
          </w:tcPr>
          <w:p>
            <w:r>
              <w:rPr>
                <w:sz w:val="22"/>
                <w:szCs w:val="22"/>
              </w:rPr>
              <w:t xml:space="preserve">11,8%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11.</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Odyssey</w:t>
            </w:r>
          </w:p>
        </w:tc>
        <w:tc>
          <w:tcPr>
            <w:tcW w:w="800" w:type="dxa"/>
            <w:tcBorders>
              <w:top w:val="single" w:sz="10" w:color="000000"/>
              <w:left w:val="single" w:sz="10" w:color="000000"/>
              <w:right w:val="single" w:sz="10" w:color="000000"/>
              <w:bottom w:val="single" w:sz="10" w:color="000000"/>
            </w:tcBorders>
          </w:tcPr>
          <w:p>
            <w:r>
              <w:rPr>
                <w:sz w:val="22"/>
                <w:szCs w:val="22"/>
              </w:rPr>
              <w:t xml:space="preserve">11,6%</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12.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Corolla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11,4%</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13.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Camry</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14.</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Civic</w:t>
            </w:r>
          </w:p>
        </w:tc>
        <w:tc>
          <w:tcPr>
            <w:tcW w:w="800" w:type="dxa"/>
            <w:tcBorders>
              <w:top w:val="single" w:sz="10" w:color="000000"/>
              <w:left w:val="single" w:sz="10" w:color="000000"/>
              <w:right w:val="single" w:sz="10" w:color="000000"/>
              <w:bottom w:val="single" w:sz="10" w:color="000000"/>
            </w:tcBorders>
          </w:tcPr>
          <w:p>
            <w:r>
              <w:rPr>
                <w:sz w:val="22"/>
                <w:szCs w:val="22"/>
              </w:rPr>
              <w:t xml:space="preserve">11%</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15.</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Land Cruiser</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10,6%</w:t>
            </w:r>
          </w:p>
        </w:tc>
      </w:tr>
    </w:tbl>
    <w:p/>
    <w:p>
      <w:pPr>
        <w:spacing w:after="100"/>
      </w:pPr>
      <w:r>
        <w:rPr>
          <w:sz w:val="22"/>
          <w:szCs w:val="22"/>
        </w:rPr>
        <w:t xml:space="preserve">A márkák összesítésében a Toyota az abszolút első helyen végzett, míg a Lexus a prémium autógyártók között tölti be ugyanezt a pozíciót – olyannyira, hogy a legjobb tíz között nem is szerepel másik luxusmárka.</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Márka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15+ éves autók aránya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12,7%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Subaru</w:t>
            </w:r>
          </w:p>
        </w:tc>
        <w:tc>
          <w:tcPr>
            <w:tcW w:w="800" w:type="dxa"/>
            <w:tcBorders>
              <w:top w:val="single" w:sz="10" w:color="000000"/>
              <w:left w:val="single" w:sz="10" w:color="000000"/>
              <w:right w:val="single" w:sz="10" w:color="000000"/>
              <w:bottom w:val="single" w:sz="10" w:color="000000"/>
            </w:tcBorders>
          </w:tcPr>
          <w:p>
            <w:r>
              <w:rPr>
                <w:sz w:val="22"/>
                <w:szCs w:val="22"/>
              </w:rPr>
              <w:t xml:space="preserve">11,0%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w:t>
            </w:r>
          </w:p>
        </w:tc>
        <w:tc>
          <w:tcPr>
            <w:tcW w:w="800" w:type="dxa"/>
            <w:tcBorders>
              <w:top w:val="single" w:sz="10" w:color="000000"/>
              <w:left w:val="single" w:sz="10" w:color="000000"/>
              <w:right w:val="single" w:sz="10" w:color="000000"/>
              <w:bottom w:val="single" w:sz="10" w:color="000000"/>
            </w:tcBorders>
          </w:tcPr>
          <w:p>
            <w:r>
              <w:rPr>
                <w:sz w:val="22"/>
                <w:szCs w:val="22"/>
              </w:rPr>
              <w:t xml:space="preserve">10,6%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w:t>
            </w:r>
          </w:p>
        </w:tc>
        <w:tc>
          <w:tcPr>
            <w:tcW w:w="800" w:type="dxa"/>
            <w:tcBorders>
              <w:top w:val="single" w:sz="10" w:color="000000"/>
              <w:left w:val="single" w:sz="10" w:color="000000"/>
              <w:right w:val="single" w:sz="10" w:color="000000"/>
              <w:bottom w:val="single" w:sz="10" w:color="000000"/>
            </w:tcBorders>
          </w:tcPr>
          <w:p>
            <w:r>
              <w:rPr>
                <w:sz w:val="22"/>
                <w:szCs w:val="22"/>
              </w:rPr>
              <w:t xml:space="preserve">8,3%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Mazda</w:t>
            </w:r>
          </w:p>
        </w:tc>
        <w:tc>
          <w:tcPr>
            <w:tcW w:w="800" w:type="dxa"/>
            <w:tcBorders>
              <w:top w:val="single" w:sz="10" w:color="000000"/>
              <w:left w:val="single" w:sz="10" w:color="000000"/>
              <w:right w:val="single" w:sz="10" w:color="000000"/>
              <w:bottom w:val="single" w:sz="10" w:color="000000"/>
            </w:tcBorders>
          </w:tcPr>
          <w:p>
            <w:r>
              <w:rPr>
                <w:sz w:val="22"/>
                <w:szCs w:val="22"/>
              </w:rPr>
              <w:t xml:space="preserve">7,5%</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6.</w:t>
            </w:r>
          </w:p>
        </w:tc>
        <w:tc>
          <w:tcPr>
            <w:tcW w:w="800" w:type="dxa"/>
            <w:tcBorders>
              <w:top w:val="single" w:sz="10" w:color="000000"/>
              <w:left w:val="single" w:sz="10" w:color="000000"/>
              <w:right w:val="single" w:sz="10" w:color="000000"/>
              <w:bottom w:val="single" w:sz="10" w:color="000000"/>
            </w:tcBorders>
          </w:tcPr>
          <w:p>
            <w:r>
              <w:rPr>
                <w:sz w:val="22"/>
                <w:szCs w:val="22"/>
                <w:b/>
              </w:rPr>
              <w:t xml:space="preserve">Lexus</w:t>
            </w:r>
          </w:p>
        </w:tc>
        <w:tc>
          <w:tcPr>
            <w:tcW w:w="800" w:type="dxa"/>
            <w:tcBorders>
              <w:top w:val="single" w:sz="10" w:color="000000"/>
              <w:left w:val="single" w:sz="10" w:color="000000"/>
              <w:right w:val="single" w:sz="10" w:color="000000"/>
              <w:bottom w:val="single" w:sz="10" w:color="000000"/>
            </w:tcBorders>
          </w:tcPr>
          <w:p>
            <w:r>
              <w:rPr>
                <w:sz w:val="22"/>
                <w:szCs w:val="22"/>
                <w:b/>
              </w:rPr>
              <w:t xml:space="preserve">7,4%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7.</w:t>
            </w:r>
          </w:p>
        </w:tc>
        <w:tc>
          <w:tcPr>
            <w:tcW w:w="800" w:type="dxa"/>
            <w:tcBorders>
              <w:top w:val="single" w:sz="10" w:color="000000"/>
              <w:left w:val="single" w:sz="10" w:color="000000"/>
              <w:right w:val="single" w:sz="10" w:color="000000"/>
              <w:bottom w:val="single" w:sz="10" w:color="000000"/>
            </w:tcBorders>
          </w:tcPr>
          <w:p>
            <w:r>
              <w:rPr>
                <w:sz w:val="22"/>
                <w:szCs w:val="22"/>
              </w:rPr>
              <w:t xml:space="preserve">Kia</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8.</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7,1%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9.</w:t>
            </w:r>
          </w:p>
        </w:tc>
        <w:tc>
          <w:tcPr>
            <w:tcW w:w="800" w:type="dxa"/>
            <w:tcBorders>
              <w:top w:val="single" w:sz="10" w:color="000000"/>
              <w:left w:val="single" w:sz="10" w:color="000000"/>
              <w:right w:val="single" w:sz="10" w:color="000000"/>
              <w:bottom w:val="single" w:sz="10" w:color="000000"/>
            </w:tcBorders>
          </w:tcPr>
          <w:p>
            <w:r>
              <w:rPr>
                <w:sz w:val="22"/>
                <w:szCs w:val="22"/>
              </w:rPr>
              <w:t xml:space="preserve">GMC</w:t>
            </w:r>
          </w:p>
        </w:tc>
        <w:tc>
          <w:tcPr>
            <w:tcW w:w="800" w:type="dxa"/>
            <w:tcBorders>
              <w:top w:val="single" w:sz="10" w:color="000000"/>
              <w:left w:val="single" w:sz="10" w:color="000000"/>
              <w:right w:val="single" w:sz="10" w:color="000000"/>
              <w:bottom w:val="single" w:sz="10" w:color="000000"/>
            </w:tcBorders>
          </w:tcPr>
          <w:p>
            <w:r>
              <w:rPr>
                <w:sz w:val="22"/>
                <w:szCs w:val="22"/>
              </w:rPr>
              <w:t xml:space="preserve">7,1%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w:t>
            </w:r>
          </w:p>
        </w:tc>
        <w:tc>
          <w:tcPr>
            <w:tcW w:w="800" w:type="dxa"/>
            <w:tcBorders>
              <w:top w:val="single" w:sz="10" w:color="000000"/>
              <w:left w:val="single" w:sz="10" w:color="000000"/>
              <w:right w:val="single" w:sz="10" w:color="000000"/>
              <w:bottom w:val="single" w:sz="10" w:color="000000"/>
            </w:tcBorders>
          </w:tcPr>
          <w:p>
            <w:r>
              <w:rPr>
                <w:sz w:val="22"/>
                <w:szCs w:val="22"/>
              </w:rPr>
              <w:t xml:space="preserve">6,9%</w:t>
            </w:r>
          </w:p>
        </w:tc>
      </w:tr>
    </w:tbl>
    <w:p/>
    <w:p>
      <w:pPr>
        <w:spacing w:after="100"/>
      </w:pPr>
      <w:r>
        <w:rPr>
          <w:sz w:val="22"/>
          <w:szCs w:val="22"/>
        </w:rPr>
        <w:t xml:space="preserve">Az iSeeCars.com elemzői azt is megvizsgálták, hogy van-e összefüggés a népszerűség és a hosszú együttlét között. Arra jutottak, hogy a piac legkeresettebb típusainak jelentős részével egyáltalán nem bizonyul tartósnak a kapcsolat – úgy is fogalmazhatnánk, hogy amilyen gyorsan beléjük szerettek, olyan gyorsan ki is ábrándulnak belőlük az autósok.</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A legnépszerűbb típusok</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15+ éves autók aránya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Highlander</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18,3%</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Tacoma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14,5%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Subaru Forester</w:t>
            </w:r>
          </w:p>
        </w:tc>
        <w:tc>
          <w:tcPr>
            <w:tcW w:w="800" w:type="dxa"/>
            <w:tcBorders>
              <w:top w:val="single" w:sz="10" w:color="000000"/>
              <w:left w:val="single" w:sz="10" w:color="000000"/>
              <w:right w:val="single" w:sz="10" w:color="000000"/>
              <w:bottom w:val="single" w:sz="10" w:color="000000"/>
            </w:tcBorders>
          </w:tcPr>
          <w:p>
            <w:r>
              <w:rPr>
                <w:sz w:val="22"/>
                <w:szCs w:val="22"/>
              </w:rPr>
              <w:t xml:space="preserve">12,8%</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RAV4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12,7%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CR-V</w:t>
            </w:r>
          </w:p>
        </w:tc>
        <w:tc>
          <w:tcPr>
            <w:tcW w:w="800" w:type="dxa"/>
            <w:tcBorders>
              <w:top w:val="single" w:sz="10" w:color="000000"/>
              <w:left w:val="single" w:sz="10" w:color="000000"/>
              <w:right w:val="single" w:sz="10" w:color="000000"/>
              <w:bottom w:val="single" w:sz="10" w:color="000000"/>
            </w:tcBorders>
          </w:tcPr>
          <w:p>
            <w:r>
              <w:rPr>
                <w:sz w:val="22"/>
                <w:szCs w:val="22"/>
              </w:rPr>
              <w:t xml:space="preserve">12,4%</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6.</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Corolla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11,4%</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7.</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Camry</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11,0%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8.</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Civic</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9.</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Accord</w:t>
            </w:r>
          </w:p>
        </w:tc>
        <w:tc>
          <w:tcPr>
            <w:tcW w:w="800" w:type="dxa"/>
            <w:tcBorders>
              <w:top w:val="single" w:sz="10" w:color="000000"/>
              <w:left w:val="single" w:sz="10" w:color="000000"/>
              <w:right w:val="single" w:sz="10" w:color="000000"/>
              <w:bottom w:val="single" w:sz="10" w:color="000000"/>
            </w:tcBorders>
          </w:tcPr>
          <w:p>
            <w:r>
              <w:rPr>
                <w:sz w:val="22"/>
                <w:szCs w:val="22"/>
              </w:rPr>
              <w:t xml:space="preserve">9,9%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 Elantra</w:t>
            </w:r>
          </w:p>
        </w:tc>
        <w:tc>
          <w:tcPr>
            <w:tcW w:w="800" w:type="dxa"/>
            <w:tcBorders>
              <w:top w:val="single" w:sz="10" w:color="000000"/>
              <w:left w:val="single" w:sz="10" w:color="000000"/>
              <w:right w:val="single" w:sz="10" w:color="000000"/>
              <w:bottom w:val="single" w:sz="10" w:color="000000"/>
            </w:tcBorders>
          </w:tcPr>
          <w:p>
            <w:r>
              <w:rPr>
                <w:sz w:val="22"/>
                <w:szCs w:val="22"/>
              </w:rPr>
              <w:t xml:space="preserve">8,7%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11.</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 Silverado 1500</w:t>
            </w:r>
          </w:p>
        </w:tc>
        <w:tc>
          <w:tcPr>
            <w:tcW w:w="800" w:type="dxa"/>
            <w:tcBorders>
              <w:top w:val="single" w:sz="10" w:color="000000"/>
              <w:left w:val="single" w:sz="10" w:color="000000"/>
              <w:right w:val="single" w:sz="10" w:color="000000"/>
              <w:bottom w:val="single" w:sz="10" w:color="000000"/>
            </w:tcBorders>
          </w:tcPr>
          <w:p>
            <w:r>
              <w:rPr>
                <w:sz w:val="22"/>
                <w:szCs w:val="22"/>
              </w:rPr>
              <w:t xml:space="preserve">8,7%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12.</w:t>
            </w:r>
          </w:p>
        </w:tc>
        <w:tc>
          <w:tcPr>
            <w:tcW w:w="800" w:type="dxa"/>
            <w:tcBorders>
              <w:top w:val="single" w:sz="10" w:color="000000"/>
              <w:left w:val="single" w:sz="10" w:color="000000"/>
              <w:right w:val="single" w:sz="10" w:color="000000"/>
              <w:bottom w:val="single" w:sz="10" w:color="000000"/>
            </w:tcBorders>
          </w:tcPr>
          <w:p>
            <w:r>
              <w:rPr>
                <w:sz w:val="22"/>
                <w:szCs w:val="22"/>
              </w:rPr>
              <w:t xml:space="preserve">GMC Sierra 1500</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13.</w:t>
            </w:r>
          </w:p>
        </w:tc>
        <w:tc>
          <w:tcPr>
            <w:tcW w:w="800" w:type="dxa"/>
            <w:tcBorders>
              <w:top w:val="single" w:sz="10" w:color="000000"/>
              <w:left w:val="single" w:sz="10" w:color="000000"/>
              <w:right w:val="single" w:sz="10" w:color="000000"/>
              <w:bottom w:val="single" w:sz="10" w:color="000000"/>
            </w:tcBorders>
          </w:tcPr>
          <w:p>
            <w:r>
              <w:rPr>
                <w:sz w:val="22"/>
                <w:szCs w:val="22"/>
              </w:rPr>
              <w:t xml:space="preserve">Subaru Outback</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Átlag</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7,7%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14.</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 Sentra</w:t>
            </w:r>
          </w:p>
        </w:tc>
        <w:tc>
          <w:tcPr>
            <w:tcW w:w="800" w:type="dxa"/>
            <w:tcBorders>
              <w:top w:val="single" w:sz="10" w:color="000000"/>
              <w:left w:val="single" w:sz="10" w:color="000000"/>
              <w:right w:val="single" w:sz="10" w:color="000000"/>
              <w:bottom w:val="single" w:sz="10" w:color="000000"/>
            </w:tcBorders>
          </w:tcPr>
          <w:p>
            <w:r>
              <w:rPr>
                <w:sz w:val="22"/>
                <w:szCs w:val="22"/>
              </w:rPr>
              <w:t xml:space="preserve">7,0%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15.</w:t>
            </w:r>
          </w:p>
        </w:tc>
        <w:tc>
          <w:tcPr>
            <w:tcW w:w="800" w:type="dxa"/>
            <w:tcBorders>
              <w:top w:val="single" w:sz="10" w:color="000000"/>
              <w:left w:val="single" w:sz="10" w:color="000000"/>
              <w:right w:val="single" w:sz="10" w:color="000000"/>
              <w:bottom w:val="single" w:sz="10" w:color="000000"/>
            </w:tcBorders>
          </w:tcPr>
          <w:p>
            <w:r>
              <w:rPr>
                <w:sz w:val="22"/>
                <w:szCs w:val="22"/>
              </w:rPr>
              <w:t xml:space="preserve">Ram 1500</w:t>
            </w:r>
          </w:p>
        </w:tc>
        <w:tc>
          <w:tcPr>
            <w:tcW w:w="800" w:type="dxa"/>
            <w:tcBorders>
              <w:top w:val="single" w:sz="10" w:color="000000"/>
              <w:left w:val="single" w:sz="10" w:color="000000"/>
              <w:right w:val="single" w:sz="10" w:color="000000"/>
              <w:bottom w:val="single" w:sz="10" w:color="000000"/>
            </w:tcBorders>
          </w:tcPr>
          <w:p>
            <w:r>
              <w:rPr>
                <w:sz w:val="22"/>
                <w:szCs w:val="22"/>
              </w:rPr>
              <w:t xml:space="preserve">6,5%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16.</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 Altima</w:t>
            </w:r>
          </w:p>
        </w:tc>
        <w:tc>
          <w:tcPr>
            <w:tcW w:w="800" w:type="dxa"/>
            <w:tcBorders>
              <w:top w:val="single" w:sz="10" w:color="000000"/>
              <w:left w:val="single" w:sz="10" w:color="000000"/>
              <w:right w:val="single" w:sz="10" w:color="000000"/>
              <w:bottom w:val="single" w:sz="10" w:color="000000"/>
            </w:tcBorders>
          </w:tcPr>
          <w:p>
            <w:r>
              <w:rPr>
                <w:sz w:val="22"/>
                <w:szCs w:val="22"/>
              </w:rPr>
              <w:t xml:space="preserve">6,5%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17.</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F-150</w:t>
            </w:r>
          </w:p>
        </w:tc>
        <w:tc>
          <w:tcPr>
            <w:tcW w:w="800" w:type="dxa"/>
            <w:tcBorders>
              <w:top w:val="single" w:sz="10" w:color="000000"/>
              <w:left w:val="single" w:sz="10" w:color="000000"/>
              <w:right w:val="single" w:sz="10" w:color="000000"/>
              <w:bottom w:val="single" w:sz="10" w:color="000000"/>
            </w:tcBorders>
          </w:tcPr>
          <w:p>
            <w:r>
              <w:rPr>
                <w:sz w:val="22"/>
                <w:szCs w:val="22"/>
              </w:rPr>
              <w:t xml:space="preserve">5,9%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18.</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Escape</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19.</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Explorer</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20.</w:t>
            </w:r>
          </w:p>
        </w:tc>
        <w:tc>
          <w:tcPr>
            <w:tcW w:w="800" w:type="dxa"/>
            <w:tcBorders>
              <w:top w:val="single" w:sz="10" w:color="000000"/>
              <w:left w:val="single" w:sz="10" w:color="000000"/>
              <w:right w:val="single" w:sz="10" w:color="000000"/>
              <w:bottom w:val="single" w:sz="10" w:color="000000"/>
            </w:tcBorders>
          </w:tcPr>
          <w:p>
            <w:r>
              <w:rPr>
                <w:sz w:val="22"/>
                <w:szCs w:val="22"/>
              </w:rPr>
              <w:t xml:space="preserve">Jeep Wrangler</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r>
    </w:tbl>
    <w:p/>
    <w:p>
      <w:pPr>
        <w:spacing w:after="100"/>
      </w:pPr>
      <w:r>
        <w:rPr>
          <w:sz w:val="22"/>
          <w:szCs w:val="22"/>
        </w:rPr>
        <w:t xml:space="preserve">Fotók: </w:t>
      </w:r>
      <w:r>
        <w:rPr>
          <w:sz w:val="22"/>
          <w:szCs w:val="22"/>
          <w:i/>
          <w:iCs/>
        </w:rPr>
        <w:t xml:space="preserve">Toyota</w:t>
      </w:r>
    </w:p>
    <w:p>
      <w:pPr>
        <w:spacing w:after="100"/>
      </w:pPr>
      <w:r>
        <w:rPr>
          <w:sz w:val="22"/>
          <w:szCs w:val="22"/>
        </w:rPr>
        <w:t xml:space="preserve">Adatok: </w:t>
      </w:r>
      <w:r>
        <w:rPr>
          <w:sz w:val="22"/>
          <w:szCs w:val="22"/>
          <w:i/>
          <w:iCs/>
        </w:rPr>
        <w:t xml:space="preserve">iseecars.com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https://news.smartermedia.hu/nemzetkozi-hirek/hosszu-boldogsag-titka-ime-azok-az-autok-amelyekkel-orokke-tart-szerelem</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iseecars.com/cars-people-keep-longest-study"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2026-08-03T08:57:43+02:00</dcterms:created>
  <dcterms:modified xsi:type="dcterms:W3CDTF">2026-08-03T08:57:43+02:00</dcterms:modified>
  <dc:title/>
  <dc:description/>
  <dc:subject/>
  <cp:keywords/>
  <cp:category/>
</cp:coreProperties>
</file>