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Supra GT4 sikeresen átesett az SRO GT4 homologizáción</w:t>
      </w:r>
    </w:p>
    <w:p>
      <w:r>
        <w:rPr>
          <w:sz w:val="22"/>
          <w:szCs w:val="22"/>
          <w:b/>
        </w:rPr>
        <w:t xml:space="preserve">Miután átesett az illetékes Stéphane Ratel Organisation (SRO) szervezet által elvégzett műszaki vizsgálatokon és pályateszteken, az új GR Supra GT4 versenyautó sikeresen megszerezte a GT4 homologizációt.</w:t>
      </w:r>
    </w:p>
    <w:p/>
    <w:p>
      <w:pPr>
        <w:spacing w:after="100"/>
      </w:pPr>
      <w:r>
        <w:rPr>
          <w:sz w:val="22"/>
          <w:szCs w:val="22"/>
        </w:rPr>
        <w:t xml:space="preserve">Az SRO munkatársai a múlt héten részletes vizsgálatoknak vetették alá a GR Supra GT4 versenyautót, amit a dél-franciaországi </w:t>
      </w:r>
      <w:r>
        <w:rPr>
          <w:sz w:val="22"/>
          <w:szCs w:val="22"/>
          <w:i/>
          <w:iCs/>
        </w:rPr>
        <w:t xml:space="preserve">Circuit Paul Ricard </w:t>
      </w:r>
      <w:r>
        <w:rPr>
          <w:sz w:val="22"/>
          <w:szCs w:val="22"/>
        </w:rPr>
        <w:t xml:space="preserve">versenypályán végrehajtott teljesítmény-tesztek követtek. Ezek során a szervezet szakértői meghatározták azt a megfelelő teljesítmény-egyensúlyt (BoP), amelyhez az egyenlő esélyek érdekében az összes GT4 versenyautónak igazodnia kell.</w:t>
      </w:r>
    </w:p>
    <w:p>
      <w:pPr>
        <w:spacing w:after="100"/>
      </w:pPr>
      <w:r>
        <w:rPr>
          <w:sz w:val="22"/>
          <w:szCs w:val="22"/>
        </w:rPr>
        <w:t xml:space="preserve">A TOYOTA Motorsport GmbH (TMG) 2019 elején kezdett hozzá a GR Supra GT4 fejlesztéséhez. A program keretében az autó egy mindenre kiterjedő tesztsorozaton is átesett, amely során több mint 12 000 kilométert tett meg Európa különböző versenypályáin. </w:t>
      </w:r>
      <w:r>
        <w:rPr>
          <w:sz w:val="22"/>
          <w:szCs w:val="22"/>
          <w:i/>
          <w:iCs/>
        </w:rPr>
        <w:t xml:space="preserve">Stéphane Ortelli</w:t>
      </w:r>
      <w:r>
        <w:rPr>
          <w:sz w:val="22"/>
          <w:szCs w:val="22"/>
        </w:rPr>
        <w:t xml:space="preserve"> vezető tesztpilóta, valamint a program változatos versenytapasztalatokkal rendelkező pilótái a legkülönfélébb körülményekre optimalizálták a GR Supra GT4 versenyautókat.</w:t>
      </w:r>
    </w:p>
    <w:p>
      <w:pPr>
        <w:spacing w:after="100"/>
      </w:pPr>
      <w:r>
        <w:rPr>
          <w:sz w:val="22"/>
          <w:szCs w:val="22"/>
        </w:rPr>
        <w:t xml:space="preserve">A GR Supra GT4 fejlesztői arra törekedtek, hogy az autó felkészültségi szinttől és tapasztalattól függetlenül minden versenyző számára ütőképes megoldást kínáljon. Ezt a célt szolgálja a jármű intelligens GT4 versenyrendszere, amely felhasználóbarát elektronikai rendszerei, valamint automatizált funkciói révén a lehető legcsekélyebb mértékben vonja el a vezető figyelmét a lényegről: a versenyautó vezetéséről.</w:t>
      </w:r>
    </w:p>
    <w:p>
      <w:pPr>
        <w:spacing w:after="100"/>
      </w:pPr>
      <w:r>
        <w:rPr>
          <w:sz w:val="22"/>
          <w:szCs w:val="22"/>
        </w:rPr>
        <w:t xml:space="preserve">A megfelelő teljesítményről a 430 lóerőre hangolt, egyetlen kettős megfúvású turbófeltöltővel szerelt háromliteres, soros hathengeres benzinmotor gondoskodik. Az erőforrás hétfokozatú sport automata sebességváltón keresztül hajtja a hátsó kerekeket. A megbízhatóságról és a kiemelkedő teljesítményről a Ravenol kenőanyagai gondoskodnak.</w:t>
      </w:r>
    </w:p>
    <w:p>
      <w:pPr>
        <w:spacing w:after="100"/>
      </w:pPr>
      <w:r>
        <w:rPr>
          <w:sz w:val="22"/>
          <w:szCs w:val="22"/>
          <w:b/>
        </w:rPr>
        <w:t xml:space="preserve">A GT4 homologizáció birtokában késlekedés nélkül megkezdődhet az első GR Supra GT4 versenyautók átadása a különböző európai szériákban szereplő ügyfelek részére.</w:t>
      </w:r>
    </w:p>
    <w:p>
      <w:pPr>
        <w:spacing w:after="100"/>
      </w:pPr>
      <w:r>
        <w:rPr>
          <w:sz w:val="22"/>
          <w:szCs w:val="22"/>
        </w:rPr>
        <w:t xml:space="preserve">A Nürburgring közelében működő Ring Racing csapat két autót vásárolt: az egyiket a hat futamból álló német ADAC GT4 bajnokságban nevezik, míg a másik a kilenc versenyből álló Nürburgring Langstrecken Serie (korábban VLN) sorozatban rajtol majd. A Ring Racing emellett egyik autóját a Novel Racing színeiben indítja a Nürburgringi 24 órás versenyen.</w:t>
      </w:r>
    </w:p>
    <w:p>
      <w:pPr>
        <w:spacing w:after="100"/>
      </w:pPr>
      <w:r>
        <w:rPr>
          <w:sz w:val="22"/>
          <w:szCs w:val="22"/>
        </w:rPr>
        <w:t xml:space="preserve">A franciaországi CMR ugyancsak két GR Supra GT4 autóval versenyez az idei szezonban. Az egyik az európai GT4 szériában áll rajthoz, a másik pedig a hatfutamos francia GT4 széria mezőnyét színesíti.</w:t>
      </w:r>
    </w:p>
    <w:p>
      <w:pPr>
        <w:spacing w:after="100"/>
      </w:pPr>
      <w:r>
        <w:rPr>
          <w:sz w:val="22"/>
          <w:szCs w:val="22"/>
        </w:rPr>
        <w:t xml:space="preserve">Az Egyesült Királyság az a Speedworks Motorsport indít egy GR Supra GT4-est (pilóták: </w:t>
      </w:r>
      <w:r>
        <w:rPr>
          <w:sz w:val="22"/>
          <w:szCs w:val="22"/>
          <w:i/>
          <w:iCs/>
        </w:rPr>
        <w:t xml:space="preserve">Sam Smelt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James Kell</w:t>
      </w:r>
      <w:r>
        <w:rPr>
          <w:sz w:val="22"/>
          <w:szCs w:val="22"/>
        </w:rPr>
        <w:t xml:space="preserve">) a hét futamból álló brit GT szériában, amely jelenleg egy Toyota Corollával versenyez a brit túraautó-bajnokságban (BTCC). A brit GT szériában közös futamokon indulnak a GT3 és GT4 autók.</w:t>
      </w:r>
    </w:p>
    <w:p>
      <w:pPr>
        <w:spacing w:after="100"/>
      </w:pPr>
      <w:r>
        <w:rPr>
          <w:sz w:val="22"/>
          <w:szCs w:val="22"/>
        </w:rPr>
        <w:t xml:space="preserve">A GR Supra GT4 iránt mutatkozó, intenzív érdeklődésnek köszönhetően az autó első példányai gyorsan gazdára találtak. A Toyota már felvette a megrendeléseket a következő szériára; az ügyfelek várhatóan a nyár elején vehetik át autójukat.</w:t>
      </w:r>
    </w:p>
    <w:p>
      <w:pPr>
        <w:spacing w:after="100"/>
      </w:pPr>
      <w:r>
        <w:rPr>
          <w:sz w:val="22"/>
          <w:szCs w:val="22"/>
        </w:rPr>
        <w:t xml:space="preserve">Nagy felbontású, jogdíjmentesen használható fényképek letölthetők a </w:t>
      </w:r>
      <w:r>
        <w:rPr>
          <w:sz w:val="22"/>
          <w:szCs w:val="22"/>
          <w:b/>
        </w:rPr>
        <w:t xml:space="preserve">http://www.tgr-dam.com</w:t>
      </w:r>
      <w:r>
        <w:rPr>
          <w:sz w:val="22"/>
          <w:szCs w:val="22"/>
        </w:rPr>
        <w:t xml:space="preserve"> weboldalról vagy a kapcsolódó galériából.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Futómű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1350 kg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Acél karosszéria, nagy szilárdságú bukókerettel</w:t>
            </w:r>
          </w:p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Elülső splitter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Üzemanyagtartály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ATL FT3 biztonsági üzemanyagcella gyorstankoló rendszerrel (120 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OMP versenyülés hatpontos biztonsági övvel (FIA 8862-2009)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Soros hathengeres,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 LE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BoP megfeleléshez szükséges, különböző programozású power stick-ek elérhetők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 Nm*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Magneti Marelli ECU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Akrapovič versenykipufogó-rendszer katalizátorral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Kenőanyagok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Hétfokozatú automata sebességváltó, váltófülek,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Versenykivitelű részlegesen önzáró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GKN Motorsport, nagy nyomatéktűrésű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Felfüggesztés, kormánymű és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KW állítható verseny-lengéscsillapítók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(elöl)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Hatdugattyús verseny-nyergek (Brembo),</w:t>
            </w:r>
          </w:p>
          <w:p>
            <w:r>
              <w:rPr>
                <w:sz w:val="22"/>
                <w:szCs w:val="22"/>
              </w:rPr>
              <w:t xml:space="preserve">390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Négydugattyús verseny-nyergek (Brembo),</w:t>
            </w:r>
          </w:p>
          <w:p>
            <w:r>
              <w:rPr>
                <w:sz w:val="22"/>
                <w:szCs w:val="22"/>
              </w:rPr>
              <w:t xml:space="preserve">355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Abroncsok elöl/hátul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305/660-18 elöl / 305/660-18 hátul (Pirelli)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OZ ötlyukú 11 x 18"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Elektronikus szabályozó rendszerek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Kipörgésgátló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Motorsport ABS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8" 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Adatrögzítő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Tolatókamera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Abroncsnyomás-felügyeleti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Futómű kitérés-érzékelők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Megvilágított 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Felszereltség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Tűzoltó berendezés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Pneumatikus emelő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Ivórendszer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Homológ hosszú távú versenycsomag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https://news.smartermedia.hu/motorsport/gr-supra-gt4-sikeresen-atesett-az-sro-gt4-homologizacion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2026-08-24T02:01:36+02:00</dcterms:created>
  <dcterms:modified xsi:type="dcterms:W3CDTF">2026-08-24T02:01:36+02:00</dcterms:modified>
  <dc:title/>
  <dc:description/>
  <dc:subject/>
  <cp:keywords/>
  <cp:category/>
</cp:coreProperties>
</file>