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Könnyebb léptű, nagyobb tudású lett a Lexus LC</w:t>
      </w:r>
    </w:p>
    <w:p>
      <w:r>
        <w:rPr>
          <w:sz w:val="22"/>
          <w:szCs w:val="22"/>
          <w:b/>
        </w:rPr>
        <w:t xml:space="preserve">Módosított futómű- és hajtáslánc-beállításokkal, fejlett kapcsolódási technológiával fut neki a következő modellévnek a Lexus zászlóshajó kupéja. </w:t>
      </w:r>
    </w:p>
    <w:p/>
    <w:p>
      <w:pPr>
        <w:spacing w:after="100"/>
      </w:pPr>
      <w:r>
        <w:rPr>
          <w:sz w:val="22"/>
          <w:szCs w:val="22"/>
        </w:rPr>
        <w:t xml:space="preserve">Idén negyedik évébe lépett a Lexus LC, a márka felső kategóriás gran turismója, így aktuálissá vált az eddigi visszajelzések alapján frissíteni a modellt. A Lexus az észak-amerikai piacon kezdi meg a modellfrissítésen átesett LC család forgalmazását. A modernebbé, dinamikusabbá tett gran turismo új változatának európai bevezetésével kapcsolatban még nincsenek konkrét információk.</w:t>
      </w:r>
    </w:p>
    <w:p>
      <w:pPr>
        <w:spacing w:after="100"/>
      </w:pPr>
      <w:r>
        <w:rPr>
          <w:sz w:val="22"/>
          <w:szCs w:val="22"/>
        </w:rPr>
        <w:t xml:space="preserve">A kupé annak idején számolatlanul nyerte a formatervezési díjakat és kitüntetéseket. A dizájn a mai napig friss és előremutató, így ahhoz most nem is nyúltak hozzá a tervezők, mindössze a színválasztékot bővítették ki. A karosszériaszínek választékában megjelent az UX és NX szabadidőjárműveken hatalmas sikert aratott, radikális, fiatalos, Kadmium-narancs árnyalat, amely rendkívül izgalmas kontrasztot képez az autó futurisztikusan arisztokratikus vonalvezetésével. Mostantól a korábban csak az Inspiration limitált szériához rendelhető Nori-zöld tónus is szabadon választható minden felszereltségi szinten, belső térben pedig új árnyalatot kapott a piros bőrkárpitozás.</w:t>
      </w:r>
    </w:p>
    <w:p>
      <w:pPr>
        <w:spacing w:after="100"/>
      </w:pPr>
      <w:r>
        <w:rPr>
          <w:sz w:val="22"/>
          <w:szCs w:val="22"/>
        </w:rPr>
        <w:t xml:space="preserve">Amilyen nüansznyiak a látható eltérések, annyira fontosak a felszín alatt véghezvitt módosítások. Mivel az LC kupé fokozott kényelme és fényűzése ellenére magabiztosan teljesít versenypályán is, a tervezők úgy döntöttek, tovább csiszolják a modell vezethetőségét. Ehhez a klasszikus receptet követve pontosan tíz kilogrammal csökkentették a rugózatlan tömeget. Az alsó lengőkarokat alumínium elemekre cserélték, módosították a kanyarstabilizátorok átmérőjét, és üregesen alakították ki azokat, új, fokozott szilárdságú anyagból készítették el a rugókat, valamint a hátsó, 21 colos keréktárcsát könnyebbre cserélték.</w:t>
      </w:r>
    </w:p>
    <w:p>
      <w:pPr>
        <w:spacing w:after="100"/>
      </w:pPr>
      <w:r>
        <w:rPr>
          <w:sz w:val="22"/>
          <w:szCs w:val="22"/>
        </w:rPr>
        <w:t xml:space="preserve">A rugózatlan tömeg csökkentésével új lehetőségek tárultak fel a futómű finomhangolására, és a Lexus mérnökei nem is késlekedtek kihasználni azokat. A lengéscsillapítók elektronikus szabályozásának módosításával megnövelték a rugóutat, a gumibakok optimalizált keménysége finomabb reakciókat eredményezett. A feszesebb hátsó kanyarstabilizátorok alkalmazása fordulékonyabbá tette az autót, a kormánymű közvetlenebbül reagál a vezető mozdulataira. A módosításokat az aktív ívmeneti támogatás (ACA) bevezetésével koronázták meg: a menetstabilizáló rendszer alá tartozó funkció az oldalirányú gyorsulás függvényében szabályozza az ívbelső kerekekre ható fékerőt.</w:t>
      </w:r>
    </w:p>
    <w:p>
      <w:r>
        <w:rPr>
          <w:sz w:val="22"/>
          <w:szCs w:val="22"/>
        </w:rPr>
        <w:t xml:space="preserve">A futómű áthangolását a hajtásláncok optimalizálása követte.</w:t>
      </w:r>
    </w:p>
    <w:p>
      <w:pPr>
        <w:spacing w:after="100"/>
      </w:pPr>
      <w:r>
        <w:rPr>
          <w:sz w:val="22"/>
          <w:szCs w:val="22"/>
        </w:rPr>
        <w:t xml:space="preserve">Az LC 500 V8-as szívómotorjának tízfokozatú automata sebességváltóját újraprogramozták, így a mindennapokban leggyakrabban használt fordulatszám-tartományban közvetlenebb gyorsulási élményt biztosít az autó. Az LC 500h hibrid rendszerének egyedülálló fokozatváltója mostantól hajtűkanyar kijáratához érve nem harmadik, hanem második fokozatba kapcsol vissza, így javítva a kigyorsítást.</w:t>
      </w:r>
    </w:p>
    <w:p>
      <w:pPr>
        <w:spacing w:after="100"/>
      </w:pPr>
      <w:r>
        <w:rPr>
          <w:sz w:val="22"/>
          <w:szCs w:val="22"/>
        </w:rPr>
        <w:t xml:space="preserve">A változások sorát az infotainment rendszer modernizálása zárja. Mostantól az LC összes kivitele alapértelmezésben kínál Android Auto támogatást, ami a mobiltelefonon tárolt tartalmakat és alkalmazásokat teszi elérhetővé az autó 10,3 colos multimédiás képernyőjén keresztül. Az Apple CarPlay-kompatibilitás és Amazon Alexa integráció mellett ezzel hiánytalanná vált a modellcsalád kapcsolódási portfoliója.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 500 és LC 500h műszaki adatok (2021. modellév)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Külső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Fejtér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Lábtér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Tömegek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Tömegelosztás e/h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54/46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52/48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 DOHC Dual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 DOHC Dual VVT-i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348/4900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komponens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Kombinált 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Hajtott 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fokozatú multistage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részben önzáró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Kormányrásegítés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Kormányfordulatok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Fordulókör, padkák között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Közegellenállási együttható (Cw)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https://news.smartermedia.hu/nemzetkozi-hirek/konnyebb-leptu-nagyobb-tudasu-lett-lexus-lc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2026-08-23T11:58:51+02:00</dcterms:created>
  <dcterms:modified xsi:type="dcterms:W3CDTF">2026-08-23T11:58:51+02:00</dcterms:modified>
  <dc:title/>
  <dc:description/>
  <dc:subject/>
  <cp:keywords/>
  <cp:category/>
</cp:coreProperties>
</file>