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világ legnépszerűbb személyautói, kategóriánkénti bontásban</w:t>
      </w:r>
    </w:p>
    <w:p>
      <w:r>
        <w:rPr>
          <w:sz w:val="22"/>
          <w:szCs w:val="22"/>
          <w:b/>
        </w:rPr>
        <w:t xml:space="preserve">Márciusig végéig kellett várni, hogy a globális autópiaci elemzők összesítsék, az egyes méretosztályokban melyek a világ legnépszerűbb típusai. A Toyota három szegmensben is piacvezető.</w:t>
      </w:r>
    </w:p>
    <w:p/>
    <w:p>
      <w:pPr>
        <w:spacing w:after="100"/>
      </w:pPr>
      <w:r>
        <w:rPr>
          <w:sz w:val="22"/>
          <w:szCs w:val="22"/>
        </w:rPr>
        <w:t xml:space="preserve">A Toyota RAV4 a szabadidőjárművek, a Toyota Camry a nagyautók, a Toyota Corolla pedig az alsó-középkategóriás családi gépkocsik között bizonyult 2019 legnépszerűbb típusának, derült ki a Focus2Move online autóipari elemző szervezet adataiból.</w:t>
      </w:r>
    </w:p>
    <w:p>
      <w:r>
        <w:rPr>
          <w:sz w:val="22"/>
          <w:szCs w:val="22"/>
        </w:rPr>
        <w:t xml:space="preserve">A világ több mint 150 nemzeti és regionális piacát nyomon követő és elemző Focus2Move szervezet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közzétette</w:t>
        </w:r>
      </w:hyperlink>
      <w:r>
        <w:rPr>
          <w:sz w:val="22"/>
          <w:szCs w:val="22"/>
        </w:rPr>
        <w:t xml:space="preserve">, melyek voltak 2019-ben az egyes személygépkocsi-kategóriák legnépszerűbb képviselői.</w:t>
      </w:r>
    </w:p>
    <w:p>
      <w:pPr>
        <w:spacing w:after="100"/>
      </w:pPr>
      <w:r>
        <w:rPr>
          <w:sz w:val="22"/>
          <w:szCs w:val="22"/>
        </w:rPr>
        <w:t xml:space="preserve">2019-ben mindegy 85 millió új személyautót helyeztek forgalomba világszerte, 4,2 százalékkal kevesebbet, mint egy évvel korábban. A több mint 3,5 millió darabos visszaesés jelentős részéért (-2,4 millió autó, -8,7%) Kína felelt. Számottevő veszteségeket szenvedett az Egyesült Államok (-250 000 autó, -1,5%), India (-250 000 autó, -7,4%) és Japán (-170 000, -2,4%) is.</w:t>
      </w:r>
    </w:p>
    <w:p>
      <w:pPr>
        <w:spacing w:after="100"/>
      </w:pPr>
      <w:r>
        <w:rPr>
          <w:sz w:val="22"/>
          <w:szCs w:val="22"/>
        </w:rPr>
        <w:t xml:space="preserve">A kilenc fő piaci szegmensben kiegyensúlyozottan képviseltették magukat az autógyártó régiók. Három japán, két európai, két amerikai, egy indiai és egy kínai modell léphetett fel a dobogók csúcsára. A személyautók között a miniautóknál a (számos piacon Suzuki Alto néven forgalmazott, de mindenképpen indiai gyártású) Maruti Alto, a városi kisautóknál a Volkswagen Polo nyerte a piaci versenyt. Az alsó-középkategóriában az új generációs Toyota Corolla (a világ legnépszerűbb autója), a nagyautóknál pedig a Toyota Camry őrizte magabiztosan első helyét. A legnépszerűbb prémium kategóriás személyautó a Mercedes E-osztály, míg a kupék között a Ford Mustang nyert.</w:t>
      </w:r>
    </w:p>
    <w:p>
      <w:pPr>
        <w:spacing w:after="100"/>
      </w:pPr>
      <w:r>
        <w:rPr>
          <w:sz w:val="22"/>
          <w:szCs w:val="22"/>
        </w:rPr>
        <w:t xml:space="preserve">A legkeresettebb szabadidőjármű, a Toyota RAV4 tovább növelte piaci előnyét, a platós kisteherjárművek között pedig a Ford F-150-ből adták el a legtöbbet. Ez utóbbi ugyanúgy nem tekinthető globális típusnak, mint a buszlimuzinok között élen végzett Wuling Hongguang.</w:t>
      </w:r>
    </w:p>
    <w:p>
      <w:pPr>
        <w:spacing w:after="100"/>
      </w:pPr>
      <w:r>
        <w:rPr>
          <w:sz w:val="22"/>
          <w:szCs w:val="22"/>
        </w:rPr>
        <w:t xml:space="preserve">Amennyiben ebben a két szegmensben csak a világszerte forgalmazott modelleket értékeljük, a Toyota Hilux, illetve a Dodge Grand Caravan kerül az élre. A pickup-szegmens három vezető típusa egyébként valójában nem önálló modell, hanem egy-egy modellcsalád, amely a legkülönfélébb teherbírású könnyű és közepes haszonjárműveket foglalja magába. A Toyota Hilux ezzel szemben világszerte ugyanabban a formában kerül forgalomba, egyedül a motor változhat piaconként. Zárójelben a 2019-es értékesítési adatok, valamint a 2018-hoz képest mért százalékos eltérések láthatóak.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Maruti Alto</w:t>
            </w:r>
          </w:p>
          <w:p>
            <w:r>
              <w:rPr>
                <w:sz w:val="22"/>
                <w:szCs w:val="22"/>
              </w:rPr>
              <w:t xml:space="preserve">(215 687, -18,5%)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  <w:p>
            <w:r>
              <w:rPr>
                <w:sz w:val="22"/>
                <w:szCs w:val="22"/>
              </w:rPr>
              <w:t xml:space="preserve">(596 585, -17,4%)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  <w:p>
            <w:r>
              <w:rPr>
                <w:sz w:val="22"/>
                <w:szCs w:val="22"/>
                <w:b/>
              </w:rPr>
              <w:t xml:space="preserve">(1 247 589, +5,1%)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  <w:p>
            <w:r>
              <w:rPr>
                <w:sz w:val="22"/>
                <w:szCs w:val="22"/>
                <w:b/>
              </w:rPr>
              <w:t xml:space="preserve">(698 721, +4,3%)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</w:t>
            </w:r>
          </w:p>
          <w:p>
            <w:r>
              <w:rPr>
                <w:sz w:val="22"/>
                <w:szCs w:val="22"/>
              </w:rPr>
              <w:t xml:space="preserve">(187 251, +8,8%)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  <w:p>
            <w:r>
              <w:rPr>
                <w:sz w:val="22"/>
                <w:szCs w:val="22"/>
                <w:b/>
              </w:rPr>
              <w:t xml:space="preserve">(414 914 ,+3,5%)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  <w:p>
            <w:r>
              <w:rPr>
                <w:sz w:val="22"/>
                <w:szCs w:val="22"/>
              </w:rPr>
              <w:t xml:space="preserve">(815 644, -1,4%)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</w:t>
            </w:r>
          </w:p>
          <w:p>
            <w:r>
              <w:rPr>
                <w:sz w:val="22"/>
                <w:szCs w:val="22"/>
              </w:rPr>
              <w:t xml:space="preserve">(534 275, +3,1%)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Ka</w:t>
            </w:r>
          </w:p>
          <w:p>
            <w:r>
              <w:rPr>
                <w:sz w:val="22"/>
                <w:szCs w:val="22"/>
              </w:rPr>
              <w:t xml:space="preserve">(183 339, -3,3%)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  <w:p>
            <w:r>
              <w:rPr>
                <w:sz w:val="22"/>
                <w:szCs w:val="22"/>
              </w:rPr>
              <w:t xml:space="preserve">(316 118, -17,4%)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  <w:p>
            <w:r>
              <w:rPr>
                <w:sz w:val="22"/>
                <w:szCs w:val="22"/>
              </w:rPr>
              <w:t xml:space="preserve">(681 387, -13,0%)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Lavida</w:t>
            </w:r>
          </w:p>
          <w:p>
            <w:r>
              <w:rPr>
                <w:sz w:val="22"/>
                <w:szCs w:val="22"/>
              </w:rPr>
              <w:t xml:space="preserve">(533 260, +5,8%)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Kwid</w:t>
            </w:r>
          </w:p>
          <w:p>
            <w:r>
              <w:rPr>
                <w:sz w:val="22"/>
                <w:szCs w:val="22"/>
              </w:rPr>
              <w:t xml:space="preserve">(182 622, +7,1%)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Fiesta</w:t>
            </w:r>
          </w:p>
          <w:p>
            <w:r>
              <w:rPr>
                <w:sz w:val="22"/>
                <w:szCs w:val="22"/>
              </w:rPr>
              <w:t xml:space="preserve">(311 735, -17,1%)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  <w:p>
            <w:r>
              <w:rPr>
                <w:sz w:val="22"/>
                <w:szCs w:val="22"/>
              </w:rPr>
              <w:t xml:space="preserve">(437 213, -29,4%)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Sylphy</w:t>
            </w:r>
          </w:p>
          <w:p>
            <w:r>
              <w:rPr>
                <w:sz w:val="22"/>
                <w:szCs w:val="22"/>
              </w:rPr>
              <w:t xml:space="preserve">(475 726, -2,3%)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Daihatsu Tanto</w:t>
            </w:r>
          </w:p>
          <w:p>
            <w:r>
              <w:rPr>
                <w:sz w:val="22"/>
                <w:szCs w:val="22"/>
              </w:rPr>
              <w:t xml:space="preserve">(175 292, +28,4%)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Onix</w:t>
            </w:r>
          </w:p>
          <w:p>
            <w:r>
              <w:rPr>
                <w:sz w:val="22"/>
                <w:szCs w:val="22"/>
              </w:rPr>
              <w:t xml:space="preserve">(276 675, +8,0%)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  <w:p>
            <w:r>
              <w:rPr>
                <w:sz w:val="22"/>
                <w:szCs w:val="22"/>
              </w:rPr>
              <w:t xml:space="preserve">(338 918, -25,1%)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C-osztály</w:t>
            </w:r>
          </w:p>
          <w:p>
            <w:r>
              <w:rPr>
                <w:sz w:val="22"/>
                <w:szCs w:val="22"/>
              </w:rPr>
              <w:t xml:space="preserve">(455 413, -1,1%)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Kupé*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Crossover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Buszlimuzin*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E-osztály</w:t>
            </w:r>
          </w:p>
          <w:p>
            <w:r>
              <w:rPr>
                <w:sz w:val="22"/>
                <w:szCs w:val="22"/>
              </w:rPr>
              <w:t xml:space="preserve">(396 837, -0,9%)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  <w:p>
            <w:r>
              <w:rPr>
                <w:sz w:val="22"/>
                <w:szCs w:val="22"/>
              </w:rPr>
              <w:t xml:space="preserve">(103 436, -3,4%)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  <w:p>
            <w:r>
              <w:rPr>
                <w:sz w:val="22"/>
                <w:szCs w:val="22"/>
                <w:b/>
              </w:rPr>
              <w:t xml:space="preserve">(947 919, +13,9%)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  <w:p>
            <w:r>
              <w:rPr>
                <w:sz w:val="22"/>
                <w:szCs w:val="22"/>
              </w:rPr>
              <w:t xml:space="preserve">(1 070 302, -1,1%)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Wuling Hongguang</w:t>
            </w:r>
          </w:p>
          <w:p>
            <w:r>
              <w:rPr>
                <w:sz w:val="22"/>
                <w:szCs w:val="22"/>
              </w:rPr>
              <w:t xml:space="preserve">(374 878, -21,3%)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5</w:t>
            </w:r>
          </w:p>
          <w:p>
            <w:r>
              <w:rPr>
                <w:sz w:val="22"/>
                <w:szCs w:val="22"/>
              </w:rPr>
              <w:t xml:space="preserve">(361 560, -3,2%)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Challenger</w:t>
            </w:r>
          </w:p>
          <w:p>
            <w:r>
              <w:rPr>
                <w:sz w:val="22"/>
                <w:szCs w:val="22"/>
              </w:rPr>
              <w:t xml:space="preserve">(65 108,-7,5%)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  <w:p>
            <w:r>
              <w:rPr>
                <w:sz w:val="22"/>
                <w:szCs w:val="22"/>
              </w:rPr>
              <w:t xml:space="preserve">(811 209, +10,8%)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  <w:p>
            <w:r>
              <w:rPr>
                <w:sz w:val="22"/>
                <w:szCs w:val="22"/>
              </w:rPr>
              <w:t xml:space="preserve">(731 988, +17,4%)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Wuling Hongguang</w:t>
            </w:r>
          </w:p>
          <w:p>
            <w:r>
              <w:rPr>
                <w:sz w:val="22"/>
                <w:szCs w:val="22"/>
              </w:rPr>
              <w:t xml:space="preserve">(374 878, -21,3%)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3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A6</w:t>
            </w:r>
          </w:p>
          <w:p>
            <w:r>
              <w:rPr>
                <w:sz w:val="22"/>
                <w:szCs w:val="22"/>
              </w:rPr>
              <w:t xml:space="preserve">(238 561, -4,1%)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Camaro</w:t>
            </w:r>
          </w:p>
          <w:p>
            <w:r>
              <w:rPr>
                <w:sz w:val="22"/>
                <w:szCs w:val="22"/>
              </w:rPr>
              <w:t xml:space="preserve">(54 081, -6,0%)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  <w:p>
            <w:r>
              <w:rPr>
                <w:sz w:val="22"/>
                <w:szCs w:val="22"/>
              </w:rPr>
              <w:t xml:space="preserve">736 885, -8,2%)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Chevy Silverado</w:t>
            </w:r>
          </w:p>
          <w:p>
            <w:r>
              <w:rPr>
                <w:sz w:val="22"/>
                <w:szCs w:val="22"/>
              </w:rPr>
              <w:t xml:space="preserve">(642 641, -1,7%)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 GL8</w:t>
            </w:r>
          </w:p>
          <w:p>
            <w:r>
              <w:rPr>
                <w:sz w:val="22"/>
                <w:szCs w:val="22"/>
              </w:rPr>
              <w:t xml:space="preserve">(148 121, +2,6%)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4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Superb</w:t>
            </w:r>
          </w:p>
          <w:p>
            <w:r>
              <w:rPr>
                <w:sz w:val="22"/>
                <w:szCs w:val="22"/>
              </w:rPr>
              <w:t xml:space="preserve">(101 973, -21,4%)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  <w:p>
            <w:r>
              <w:rPr>
                <w:sz w:val="22"/>
                <w:szCs w:val="22"/>
              </w:rPr>
              <w:t xml:space="preserve">(31 688, +2,9%)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  <w:p>
            <w:r>
              <w:rPr>
                <w:sz w:val="22"/>
                <w:szCs w:val="22"/>
              </w:rPr>
              <w:t xml:space="preserve">(530 169, -7,1%)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  <w:p>
            <w:r>
              <w:rPr>
                <w:sz w:val="22"/>
                <w:szCs w:val="22"/>
                <w:b/>
              </w:rPr>
              <w:t xml:space="preserve">(550 361,-0,5%)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Note</w:t>
            </w:r>
          </w:p>
          <w:p>
            <w:r>
              <w:rPr>
                <w:sz w:val="22"/>
                <w:szCs w:val="22"/>
              </w:rPr>
              <w:t xml:space="preserve">(135 165, -12,7%)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Grandeur</w:t>
            </w:r>
          </w:p>
          <w:p>
            <w:r>
              <w:rPr>
                <w:sz w:val="22"/>
                <w:szCs w:val="22"/>
              </w:rPr>
              <w:t xml:space="preserve">(100 617, -11,0%)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  <w:p>
            <w:r>
              <w:rPr>
                <w:sz w:val="22"/>
                <w:szCs w:val="22"/>
              </w:rPr>
              <w:t xml:space="preserve">(29 987, -8,3%)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  <w:p>
            <w:r>
              <w:rPr>
                <w:sz w:val="22"/>
                <w:szCs w:val="22"/>
              </w:rPr>
              <w:t xml:space="preserve">(498 915, -3,3%)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  <w:p>
            <w:r>
              <w:rPr>
                <w:sz w:val="22"/>
                <w:szCs w:val="22"/>
              </w:rPr>
              <w:t xml:space="preserve">(354 321, +32,3%)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  <w:p>
            <w:r>
              <w:rPr>
                <w:sz w:val="22"/>
                <w:szCs w:val="22"/>
              </w:rPr>
              <w:t xml:space="preserve">(133 282, -8,5%)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A Focus2Move rangsora ezekben a szegmensekben tévesen oda nem tartozó modelleket is tartalmaz; ezeket táblázatunkban kiszűrtük.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focus2move.com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https://news.smartermedia.hu/nemzetkozi-hirek/ime-vilag-legnepszerubb-szemelyautoi-kategoriankenti-bontasban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best-selling-ca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2026-06-23T00:14:54+02:00</dcterms:created>
  <dcterms:modified xsi:type="dcterms:W3CDTF">2026-06-23T00:14:54+02:00</dcterms:modified>
  <dc:title/>
  <dc:description/>
  <dc:subject/>
  <cp:keywords/>
  <cp:category/>
</cp:coreProperties>
</file>