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a világ legértékesebb autómárkája</w:t>
      </w:r>
    </w:p>
    <w:p>
      <w:r>
        <w:rPr>
          <w:sz w:val="22"/>
          <w:szCs w:val="22"/>
          <w:b/>
        </w:rPr>
        <w:t xml:space="preserve">Folyatódik az autóipar hangsúlyvesztése a globális gazdaságon belül, ám a Toyota a tradíciók és az innovációk optimális egyensúlyának köszönhetően sorban nyolcadik éve bizonyul a világ legértékesebb autómárkájának.</w:t>
      </w:r>
    </w:p>
    <w:p/>
    <w:p>
      <w:pPr>
        <w:spacing w:after="100"/>
      </w:pPr>
      <w:r>
        <w:rPr>
          <w:sz w:val="22"/>
          <w:szCs w:val="22"/>
        </w:rPr>
        <w:t xml:space="preserve">Idén tizenötödik alkalommal állította össze a bolygó legértékesebb márkáinak rangsorát,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BrandZ Top 100 listát</w:t>
        </w:r>
      </w:hyperlink>
      <w:r>
        <w:rPr>
          <w:sz w:val="22"/>
          <w:szCs w:val="22"/>
        </w:rPr>
        <w:t xml:space="preserve"> a Kantar Millward Brown piacelemző szervezet. Az autóipari szereplők mezőnyét idén tizenharmadszor – sorban nyolcadik alkalommal – a Toyota vezeti.</w:t>
      </w:r>
    </w:p>
    <w:p>
      <w:pPr>
        <w:spacing w:after="100"/>
      </w:pPr>
      <w:r>
        <w:rPr>
          <w:sz w:val="22"/>
          <w:szCs w:val="22"/>
        </w:rPr>
        <w:t xml:space="preserve">A 2020. évi felmérésre alapvetően rányomta a bélyegét a globális koronavírus-járvány. A pandémia világgazdaságra gyakorolt hatása ugyanakkor nem volt tisztán negatív. A Kantar Millward Brown kutatásai a széles gazdaság viszonylatában is megerősítették azt, amit sokan személyesen is tapasztaltak: minden korábbinál nagyobb mértékben nőtt az online kiskereskedelem jelentősége, az emberek tudatosabban törekedtek arra, hogy a lehető legjobb értéket kapják a pénzükért, illetve minden eddiginél szélesebb körben részesítették előnyben a helyben előállított termékeket és szolgáltatásokat.</w:t>
      </w:r>
    </w:p>
    <w:p>
      <w:pPr>
        <w:spacing w:after="100"/>
      </w:pPr>
      <w:r>
        <w:rPr>
          <w:sz w:val="22"/>
          <w:szCs w:val="22"/>
        </w:rPr>
        <w:t xml:space="preserve">Ennek nem mond ellent az, hogy a BrandZ Top 100 listán szereplő márkák – a világ száz legértékesebb piaci szereplője – további hat százalékkal növelték összértéküket 2019-hez képest. Ez a 277 milliárd dolláros gyarapodás elegendő volt ahhoz, hogy a világ száz legértékesebb vállalatának az értéke együttesen megközelítse az 5 billió dollárt.</w:t>
      </w:r>
    </w:p>
    <w:p>
      <w:pPr>
        <w:spacing w:after="100"/>
      </w:pPr>
      <w:r>
        <w:rPr>
          <w:sz w:val="22"/>
          <w:szCs w:val="22"/>
        </w:rPr>
        <w:t xml:space="preserve">Feltűnő az internetes kereskedelemmel (Amazon, Alibaba, Tencent), illetve az elektronikus fizetéssel (Visa, Mastercard, PayPal) foglalkozó vállalatok értékének emelkedése, nem meglepő a legjobb tízben szereplő étteremlánc visszaesése – talán csak a tavaly még a lista hatodik helyén szereplő Facebook térvesztése mond ellent a mindennapokban tapasztalható trendeknek.</w:t>
      </w:r>
    </w:p>
    <w:p>
      <w:pPr>
        <w:spacing w:after="100"/>
      </w:pPr>
      <w:r>
        <w:rPr>
          <w:sz w:val="22"/>
          <w:szCs w:val="22"/>
        </w:rPr>
        <w:t xml:space="preserve">Ha túltekintünk a tíz legértékesebb márkán, és egyetlen globális trenddel szeretnénk jellemezni az elmúlt egy évet, a digitális technológiai és szórakoztató platformokat működtető vállalatok növekedését lehet kiemelni: a középmezőny élén az Instagram 47 százalékkal, a Netflix 34 százalékal, a LinkedIn 31 százalékkal erősödött 12 hónap alatt.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10 legértékesebb </w:t>
      </w:r>
      <w:r>
        <w:rPr>
          <w:sz w:val="22"/>
          <w:szCs w:val="22"/>
          <w:b/>
          <w:u w:val="single"/>
        </w:rPr>
        <w:t xml:space="preserve">vállalata a BrandZ Top 100 lista szerint (márkaérték milliárd dollárban)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hozzáadott értéke</w:t>
            </w:r>
            <w:r>
              <w:rPr>
                <w:sz w:val="12"/>
                <w:szCs w:val="1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változása 2019-2020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változása 2019-2020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415,855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352,206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326,544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323,601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186,809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Alibaba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152,525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Tencent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150,978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Facebook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147,190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129,321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Mastercard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108,129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</w:tbl>
    <w:p/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  <w:i/>
          <w:iCs/>
        </w:rPr>
        <w:t xml:space="preserve">A 0-5 skálán mozgó indikátor arra utal, hogy minden egyéb szemponttól (ár, piaci tényezők stb.) milyen mértékben képes a márkanév önmagában vásárlásra ösztönözni a fogyasztókat – magyarul: mennyire tekintik kívánatosnak a márkát az emberek.</w:t>
      </w:r>
    </w:p>
    <w:p>
      <w:pPr>
        <w:spacing w:after="100"/>
      </w:pPr>
      <w:r>
        <w:rPr>
          <w:sz w:val="22"/>
          <w:szCs w:val="22"/>
        </w:rPr>
        <w:t xml:space="preserve">Ugyanakkor az sem véletlen, hogy az autóipar, amelynek fajsúlya már tavaly is gyengült a globális gazdaságon belül, tovább veszített jelentőségéből. A Covid-19 járvány a közlekedési és beruházási kedv csökkenése, illetve az ebből adódó gyártásbeszüntetések miatt különösen kedvezőtlen hatást gyakorolt a szegmensre. Öröm az ürömben, hogy a tíz legértékesebb autómárka jelenleg 130 milliárd dollárt ér. Közülük azonban csak hárman olyan nagyok és jelentősek, hogy felkerülhettek a Top 100-as listára: a Toyota a 48., a Mercedes-Benz az 56., a BMW pedig a 61. helyen. Hármójuk közül arányaiban a Toyota veszítette a legkevesebbet.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BrandZ autóipari Top 10-es listája (márkaérték millió dollárban)</w:t>
      </w:r>
    </w:p>
    <w:p>
      <w:pPr>
        <w:spacing w:after="100"/>
      </w:pPr>
    </w:p>
    <w:p>
      <w:r>
        <w:pict>
          <v:shape type="#_x0000_t75" style="width:600px;height: 66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okok leginkább arra vezethetők vissza, hogy az autóipar annak minden aspektusát érintő, radikális átalakulásban van, a hajtástechnológiák villamosításától kezdve az értékesítési és marketing stratégiák hangsúlyváltásán át a mobilitás alapvető koncepciójáig. </w:t>
      </w:r>
      <w:r>
        <w:rPr>
          <w:sz w:val="22"/>
          <w:szCs w:val="22"/>
          <w:b/>
        </w:rPr>
        <w:t xml:space="preserve">A felmérések tanúsága szerint továbbra is a Toyota találja el legjobban az arányokat a bevett paradigmák feloldása, valamint az iparág új irányelvek mentén történő, ismételt stabilizálása között.</w:t>
      </w:r>
    </w:p>
    <w:p>
      <w:pPr>
        <w:spacing w:after="100"/>
      </w:pPr>
      <w:r>
        <w:rPr>
          <w:sz w:val="22"/>
          <w:szCs w:val="22"/>
        </w:rPr>
        <w:t xml:space="preserve">Ezt a mérőszámok is bizonyítják: a tradicionális autógyártók körében a márka megkülönböztető ereje tekintetében (megbízható autók és ügyfélkapcsolat) éppúgy a legjobb értéket érte el, mint a diszruptitivás, azaz a vadonatúj értékek és rendszerek teremtése terén. </w:t>
      </w:r>
      <w:r>
        <w:rPr>
          <w:sz w:val="22"/>
          <w:szCs w:val="22"/>
          <w:b/>
        </w:rPr>
        <w:t xml:space="preserve">Ezek után nem csoda, hogy a vállalat idén tizenharmadik alkalommal (2013 óta sorban nyolcadszor) bizonyult a legértékesebbnek valamennyi autógyártó közül.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Kantar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Kantar Millward Brown és Bloomberg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https://news.smartermedia.hu/nemzetkozi-hirek/tovabbra-toyota-vilag-legertekesebb-automarkaja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brandz.com/admin/uploads/files/2020_BrandZ_Global_Top_100_Report.pdf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2026-09-12T15:35:48+02:00</dcterms:created>
  <dcterms:modified xsi:type="dcterms:W3CDTF">2026-09-12T15:35:48+02:00</dcterms:modified>
  <dc:title/>
  <dc:description/>
  <dc:subject/>
  <cp:keywords/>
  <cp:category/>
</cp:coreProperties>
</file>