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császár új ruhája: Toyota Century Wald tuning</w:t>
      </w:r>
    </w:p>
    <w:p>
      <w:r>
        <w:rPr>
          <w:sz w:val="22"/>
          <w:szCs w:val="22"/>
          <w:b/>
        </w:rPr>
        <w:t xml:space="preserve">Az extrém optikai tuningjairól hírhedt Wald International ezúttal a Toyota Century-t vette kezelésbe. A csomag visszafogottabb és ízlésesebb a szokásosnál, ám a nemes luxusautón ennyi éppen elég.</w:t>
      </w:r>
    </w:p>
    <w:p/>
    <w:p>
      <w:pPr>
        <w:spacing w:after="100"/>
      </w:pPr>
      <w:r>
        <w:rPr>
          <w:sz w:val="22"/>
          <w:szCs w:val="22"/>
        </w:rPr>
        <w:t xml:space="preserve">Ha van megtestesülése a japán konzervativizmusnak, az a Toyota Century: 53 év alatt mindössze három generációt ért meg, amelyeket ráadásul formatervük alapján bajosan különböztethetünk meg egymástól. A kifejezetten sofőrös limuzinnak tervezett autó a japán császári család hivatalos járműve, és már csak emiatt is a megkérdőjelezhetetlen hatalom erőfitogtatást nem igénylő jelképének tekintik.</w:t>
      </w:r>
    </w:p>
    <w:p>
      <w:pPr>
        <w:spacing w:after="100"/>
      </w:pPr>
      <w:r>
        <w:rPr>
          <w:sz w:val="22"/>
          <w:szCs w:val="22"/>
        </w:rPr>
        <w:t xml:space="preserve">Mindez nem gátolta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Wald International</w:t>
        </w:r>
      </w:hyperlink>
      <w:r>
        <w:rPr>
          <w:sz w:val="22"/>
          <w:szCs w:val="22"/>
        </w:rPr>
        <w:t xml:space="preserve"> esztétáit abban, hogy a maguk képére formálják a hatalmas limuzint. Vagy talán mégis, hiszen a tőlük megszokott extravagáns munkákhoz képest kifejezetten szerényen néz ki a tuningolt Century.</w:t>
      </w:r>
    </w:p>
    <w:p>
      <w:pPr>
        <w:spacing w:after="100"/>
      </w:pPr>
      <w:r>
        <w:rPr>
          <w:sz w:val="22"/>
          <w:szCs w:val="22"/>
        </w:rPr>
        <w:t xml:space="preserve">Persze pont ez a minimalista hangvétel teszi ellenállhatatlanná az autót. A karosszéria felső részén selyemfényt kaptak a krómdíszítések, a küszöb és a lökhárítók aljának síkjában viszont folytonos nemesacél szegély húzódik, új arányokat teremtve az eleve letisztult, minden domborítást és törést nélkülöző autón. A vonalak egyszerűségét matt sötétszürke fóliázás hangsúlyozza ki. Az elmaradhatatlan csillogásról kiegészítő LED fények gondoskodnak; hátul diffúzor és a csomagtérfedélre illesztett szolid légterelő teremt minden logikának ellentmondó, sportos hangulatot.</w:t>
      </w:r>
    </w:p>
    <w:p>
      <w:pPr>
        <w:spacing w:after="100"/>
      </w:pPr>
      <w:r>
        <w:rPr>
          <w:sz w:val="22"/>
          <w:szCs w:val="22"/>
        </w:rPr>
        <w:t xml:space="preserve">A hangsúlyos kerékíveket időtlen rajzolatú, fekete vagy ezüstfestésű, masszív keréktárcsák töltik ki, de kérhetők öt vagy tíz duplaküllős darabok is, akár arany, piros vagy sárgaréz színben, 20-22 colos méretben. A Wald sem a belső térhez, sem az ötliteres V8-as motor köré épülő hibrid komponenshez nem nyúlt, és gyanítjuk, a futómű is a megszokott ultra komfortos rugózást kínálja – hiszen lehet bármilyen látványos, egy Century elsődleges küldetése mégiscsak a hátsó utasok kényelmének kiszolgálása.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https://news.smartermedia.hu/tuning/csaszar-uj-ruhaja-toyota-century-wald-tuning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ld.co.jp/parts_acce/carrange/toyota/century/uwg60_2019/top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2026-06-08T23:02:46+02:00</dcterms:created>
  <dcterms:modified xsi:type="dcterms:W3CDTF">2026-06-08T23:02:46+02:00</dcterms:modified>
  <dc:title/>
  <dc:description/>
  <dc:subject/>
  <cp:keywords/>
  <cp:category/>
</cp:coreProperties>
</file>