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Aranytömb 550 lóerővel</w:t>
      </w:r>
    </w:p>
    <w:p>
      <w:r>
        <w:rPr>
          <w:sz w:val="22"/>
          <w:szCs w:val="22"/>
          <w:b/>
        </w:rPr>
        <w:t xml:space="preserve">Fél évvel azután, hogy a Toyota bemutatta új sportkupéjához szánt tuningcsomagját, a Manhart most visszakanyarodott a GR Suprához. Az újonc még erősebb és még látványosabb lett. </w:t>
      </w:r>
    </w:p>
    <w:p/>
    <w:p>
      <w:pPr>
        <w:spacing w:after="100"/>
      </w:pPr>
      <w:r>
        <w:rPr>
          <w:sz w:val="22"/>
          <w:szCs w:val="22"/>
        </w:rPr>
        <w:t xml:space="preserve">A negyedik generációs Toyota Supra minden idők egyik leggyakrabban és legmerészebben tuningolt típusa. Soros hathengeres motorjából a szakértők a gyári teljesítmény akár hat-nyolcszorosát is könnyedén előcsalogatták, és csalogatják a mai napig.</w:t>
      </w:r>
    </w:p>
    <w:p>
      <w:pPr>
        <w:spacing w:after="100"/>
      </w:pPr>
      <w:r>
        <w:rPr>
          <w:sz w:val="22"/>
          <w:szCs w:val="22"/>
        </w:rPr>
        <w:t xml:space="preserve">Ilyen előzmények után akkor is magasak voltak az elvárások az új Toyota GR Suprával szemben, ha tudjuk, egy modern, elektronikus vezérlésű motorból nem olyan egyszerű plusz teljesítményt előcsalogatni.</w:t>
      </w:r>
    </w:p>
    <w:p>
      <w:pPr>
        <w:spacing w:after="100"/>
      </w:pPr>
      <w:r>
        <w:rPr>
          <w:sz w:val="22"/>
          <w:szCs w:val="22"/>
        </w:rPr>
        <w:t xml:space="preserve">A német Manhart az elsők között próbálkozott meg a feladattal, és nem is vallott kudarcot. Idén áprilisban mutatták be a Supra GR 450-et, amely – ahogy a neve is mutatja – 450 lóerőt adott le a gyári 340 helyett, a maximális forgatónyomaték 500 Nm-ről 650 Nm-re emelkedett; mindkét érték nagyjából 33 százalékkal nőtt. Nem rossz, de mindenki sejtette, hogy ennél több volt benne – a Suprában és a Manhartban egyaránt. Nem tévedtek, alig fél évnek kellett eltelnie, és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megérkezett a Supra második tuningcsomagja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Toyota Supra GR 550 motorja – micsoda meglepetés – 550 lóerős, ami valamivel több, mint 60 százalékos teljesítménynövelést jelent a gyári beállításhoz képest. A nyomatéki csúcs pedig eléri a 770 newtonmétert (+54%). Míg az első körben csak a motorvezérlést módosították, ezúttal jóval komolyabb változtatásokat eszközöltek: új a turbófeltöltő, lecserélték a hűtőt, a szívórendszer szénszálas kompozitból készült.</w:t>
      </w:r>
    </w:p>
    <w:p>
      <w:pPr>
        <w:spacing w:after="100"/>
      </w:pPr>
      <w:r>
        <w:rPr>
          <w:sz w:val="22"/>
          <w:szCs w:val="22"/>
        </w:rPr>
        <w:t xml:space="preserve">A hangolható kipufogórendszer az FI Exhaust munkája, a katalizátor opciós extra. A futómű lehet három irányban állítható KW rendszer vagy egyszerű, de nagyszerű ültetés – ezen a téren nincs eltérés a GR 450 és GR 550 között.</w:t>
      </w:r>
    </w:p>
    <w:p>
      <w:pPr>
        <w:spacing w:after="100"/>
      </w:pPr>
      <w:r>
        <w:rPr>
          <w:sz w:val="22"/>
          <w:szCs w:val="22"/>
        </w:rPr>
        <w:t xml:space="preserve">Van viszont különbség a keréktárcsákban: a konkáv, polírozott felniket matt fekete darabok váltották, a hátsó abroncsok az eddig alkalmazott 285/30 ZR20 helyett 295/25 ZR20 méretűek (elöl viszont 265/30-ról 255/30-ra módosították a méretet, ami valamivel jobb kezelhetőséget ígér).</w:t>
      </w:r>
    </w:p>
    <w:p>
      <w:pPr>
        <w:spacing w:after="100"/>
      </w:pPr>
      <w:r>
        <w:rPr>
          <w:sz w:val="22"/>
          <w:szCs w:val="22"/>
        </w:rPr>
        <w:t xml:space="preserve">A fékekhez és a belső térhez nem nyúlnak a Manhartnál, csak ha az ügyfél külön kéri. A műhelyre jellemző arany fólia és kontrasztos matricázás látványos adalék, és bár ellenálltak a kísértésnek, hogy tolakodó hátsó szárnnyal csúfítsák el az autó remek arányait, az extra teljesítmény indokolttá tette egy első légterelő idom felszerelését.</w:t>
      </w:r>
    </w:p>
    <w:p>
      <w:pPr>
        <w:spacing w:after="100"/>
      </w:pPr>
      <w:r>
        <w:rPr>
          <w:sz w:val="22"/>
          <w:szCs w:val="22"/>
        </w:rPr>
        <w:t xml:space="preserve">A Manhart nem tette közzé a mentdinamikai adatokat, de valószínű, hogy a gyári értéknél (4,3 mp 0-100 km/h-ra) legalább fél másodperccel javult a Supra gyorsító képessége – a hármassal kezdődő gyorsulási érték pedig már a szupersportautók felségterülete.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www.manhart-performance.de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https://news.smartermedia.hu/tuning/aranytomb-550-loerovel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manhart-performance.de/en/our-brands/toyota/manhart-supra-gr-550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2026-07-23T07:11:53+02:00</dcterms:created>
  <dcterms:modified xsi:type="dcterms:W3CDTF">2026-07-23T07:11:53+02:00</dcterms:modified>
  <dc:title/>
  <dc:description/>
  <dc:subject/>
  <cp:keywords/>
  <cp:category/>
</cp:coreProperties>
</file>