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JATO: továbbra is a Toyota a legtisztább autógyártó Európában</w:t>
      </w:r>
    </w:p>
    <w:p>
      <w:r>
        <w:rPr>
          <w:sz w:val="22"/>
          <w:szCs w:val="22"/>
          <w:b/>
        </w:rPr>
        <w:t xml:space="preserve">Érezhetően csökkent az Európában eladott új autók összesített károsanyag-kibocsátása. A fejlemény a belső égésű motorok viszonylagos visszaszorulásának köszönhető, az abszolút győztes mégis a Toyota, amelynek még egyetlen villanyautója sincs, ám annál több a hibrid modellje és a legalacsonyabb értékkel magabiztosan vezeti az európai CO2 emissziós listát.</w:t>
      </w:r>
    </w:p>
    <w:p/>
    <w:p>
      <w:pPr>
        <w:spacing w:after="100"/>
      </w:pPr>
      <w:r>
        <w:rPr>
          <w:sz w:val="22"/>
          <w:szCs w:val="22"/>
        </w:rPr>
        <w:t xml:space="preserve">2020-ban sok rossz dolog történt, az autóiparban éppúgy, mint azon túl. Egy valami mégis jó irányba mozdult el: Európában némi megtorpanás után ismét csökkenést mutatott az újonnan eladott autók átlagos széndioxid-kibocsátása. Míg az előző évtized utolsó harmadában a szabadidőjárművek fokozatosan emelkedő részaránya miatt megfordulni látszott egy több mint egy évtizede tartó, kedvező tendencia, 2020-ban ismét jó irányba mozdult el a mutató.</w:t>
      </w:r>
    </w:p>
    <w:p>
      <w:pPr>
        <w:spacing w:after="100"/>
      </w:pPr>
    </w:p>
    <w:p>
      <w:r>
        <w:pict>
          <v:shape type="#_x0000_t75" style="width:600px;height:2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Az Európa 21 országában eladott új autók átlagos CO2-emissziója 106,7 g/km volt</w:t>
      </w:r>
      <w:r>
        <w:rPr>
          <w:sz w:val="22"/>
          <w:szCs w:val="22"/>
        </w:rPr>
        <w:t xml:space="preserve"> (NEDC norma szerint), 12 százalékkal kedvezőbb, mint 2019-ben. A JATO piackutató szervezet elemzői szerint a kedvező változás két tényezőnek volt köszönhető. Egyrészt hatályba léptek az új, szigorúbb károsanyag-kibocsátási korlátozások, amelyek flottájuk tisztítására kényszerítették az autógyártókat.</w:t>
      </w:r>
    </w:p>
    <w:p>
      <w:pPr>
        <w:spacing w:after="100"/>
      </w:pPr>
      <w:r>
        <w:rPr>
          <w:sz w:val="22"/>
          <w:szCs w:val="22"/>
        </w:rPr>
        <w:t xml:space="preserve">Másrészt a járvány miatt közlekedésükben korlátozott európai polgárok újraértékelték a személyes mobilitásról alkotott elképzeléseiket, és minden korábbinál nagyobb arányban vásároltak hálózatról tölthető járműveket. A 2019-es 466 ezer helyett 2020-ban </w:t>
      </w:r>
      <w:r>
        <w:rPr>
          <w:sz w:val="22"/>
          <w:szCs w:val="22"/>
          <w:b/>
        </w:rPr>
        <w:t xml:space="preserve">több mint két és félszer több, 1,21 millió tisztán elektromos vagy plug-in hibrid gépkocsit vásároltak</w:t>
      </w:r>
      <w:r>
        <w:rPr>
          <w:sz w:val="22"/>
          <w:szCs w:val="22"/>
        </w:rPr>
        <w:t xml:space="preserve"> – mivel azonban közben a piaci összeladások zsugorodtak, a technológia megháromszorozta a piaci részesedését: az egy évvel korábbi 3,1 százalékról 10,6 százalékra nőtt az arányuk.</w:t>
      </w:r>
    </w:p>
    <w:p>
      <w:pPr>
        <w:spacing w:after="100"/>
      </w:pPr>
      <w:r>
        <w:rPr>
          <w:sz w:val="22"/>
          <w:szCs w:val="22"/>
        </w:rPr>
        <w:t xml:space="preserve">Ezzel párhuzamosan a benzin- és </w:t>
      </w:r>
      <w:r>
        <w:rPr>
          <w:sz w:val="22"/>
          <w:szCs w:val="22"/>
          <w:b/>
        </w:rPr>
        <w:t xml:space="preserve">dízelüzemű autók eladásai</w:t>
      </w:r>
      <w:r>
        <w:rPr>
          <w:sz w:val="22"/>
          <w:szCs w:val="22"/>
        </w:rPr>
        <w:t xml:space="preserve"> 14,7 millió darabról 8,6 millióra estek vissza: ezzel a benzinmotorok piaci részesedése 59 százalék alá, a dízeleké pedig</w:t>
      </w:r>
      <w:r>
        <w:rPr>
          <w:sz w:val="22"/>
          <w:szCs w:val="22"/>
          <w:b/>
        </w:rPr>
        <w:t xml:space="preserve"> a minden korábbinál alacsonyabb 29 százalék alá süllyedt.</w:t>
      </w:r>
    </w:p>
    <w:p>
      <w:pPr>
        <w:spacing w:after="100"/>
      </w:pPr>
    </w:p>
    <w:p>
      <w:r>
        <w:pict>
          <v:shape type="#_x0000_t75" style="width:600px;height:339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Különösen fontos, hogy a hálózatról tölthető, részben vagy teljesen elektromos hajtástechnológia egyre nagyobb teret nyer a szabadidőjárművek körében. A crossoverek jellemzően nagyobb gördülési és légellenállásuknak köszönhetően átlagosan 18%-kal több CO2-t bocsátanak ki, mint egy azonos méretű személygépkocsi. </w:t>
      </w:r>
      <w:r>
        <w:rPr>
          <w:sz w:val="22"/>
          <w:szCs w:val="22"/>
          <w:b/>
        </w:rPr>
        <w:t xml:space="preserve">Az újautó-eladások összesen 40 százalékát kitevő crossover-szegmensekben tavaly minden eddiginél nagyobb arányban jelentek meg hálózatról tölthető modellek, ami hozzájárult ahhoz, hogy a SUV-ok átlagos, súlyozott CO2-kibocsátása egyetlen év alatt 16,2 g/km-rel csökkent.</w:t>
      </w:r>
    </w:p>
    <w:p>
      <w:pPr>
        <w:spacing w:after="100"/>
      </w:pPr>
      <w:r>
        <w:rPr>
          <w:sz w:val="22"/>
          <w:szCs w:val="22"/>
        </w:rPr>
        <w:t xml:space="preserve">Ezek után könnyű volna arra a következtetésre jutni, hogy azok a márkák vezetik a CO2-kibocsátási rangsort, amelyek jelentős számban adnak el akkumulátoros elektromos vagy hálózatról tölthető hibrid járműveket.</w:t>
      </w:r>
    </w:p>
    <w:p>
      <w:pPr>
        <w:spacing w:after="100"/>
      </w:pPr>
      <w:r>
        <w:rPr>
          <w:sz w:val="22"/>
          <w:szCs w:val="22"/>
        </w:rPr>
        <w:t xml:space="preserve">A valóság azonban mást mutat: </w:t>
      </w:r>
      <w:r>
        <w:rPr>
          <w:sz w:val="22"/>
          <w:szCs w:val="22"/>
          <w:b/>
        </w:rPr>
        <w:t xml:space="preserve">a 2020. év emissziós bajnoka ismét a Toyota lett</w:t>
      </w:r>
      <w:r>
        <w:rPr>
          <w:sz w:val="22"/>
          <w:szCs w:val="22"/>
        </w:rPr>
        <w:t xml:space="preserve">, amely az eladásaiból rendkívül nagy arányban részesedő öntöltő hibrid gépkocsiknak köszönhetően </w:t>
      </w:r>
      <w:r>
        <w:rPr>
          <w:sz w:val="22"/>
          <w:szCs w:val="22"/>
          <w:b/>
        </w:rPr>
        <w:t xml:space="preserve">minden más autógyártónál kedvezőbb, 100 g/km alatti átlagos károsanyag-kibocsátást ért el.</w:t>
      </w:r>
    </w:p>
    <w:p>
      <w:pPr>
        <w:spacing w:after="100"/>
      </w:pPr>
    </w:p>
    <w:p>
      <w:r>
        <w:pict>
          <v:shape type="#_x0000_t75" style="width:600px;height:321px">
            <v:imagedata r:id="rId9" o:title=""/>
          </v:shape>
        </w:pic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Autógyártó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Az eladott új autók súlyozott átlagos CO2-kibocsátása (</w:t>
            </w:r>
            <w:r>
              <w:rPr>
                <w:sz w:val="22"/>
                <w:szCs w:val="22"/>
                <w:b/>
              </w:rPr>
              <w:t xml:space="preserve">g/km)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PSA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Hyundai-Kia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Renault-Nissan-Mitsubishi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Fiat-Chrysler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155,3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csoport európai eladásainak több mint a felét, 53 százalékot tesznek ki az öntöltő hibrid modellek. Ráadásul ezen belül pont a legkeresettebb típusok esetében beszélhettünk a legnagyobb hibrid részesedésről: a Corolla, a Yaris és a RAV4, amelyek együtt a márka 2020-as európai eladásainak az 58 százalékát tette ki, átlagosan 65 százalékban találtak hibrid hajtáslánccal gazdára.</w:t>
      </w:r>
    </w:p>
    <w:p>
      <w:r>
        <w:rPr>
          <w:sz w:val="22"/>
          <w:szCs w:val="22"/>
        </w:rPr>
        <w:t xml:space="preserve">A Toyota öntöltő hibrid hajtásláncával szerelt modellek városi forgalomban akár a menetidő 80 százalékában képesek tisztán elektromos üzemben közlekedni, köszönhetően a rendkívül jól optimalizált hajtásvezérlésnek.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</w:t>
      </w:r>
      <w:r>
        <w:rPr>
          <w:sz w:val="22"/>
          <w:szCs w:val="22"/>
          <w:i/>
          <w:iCs/>
        </w:rPr>
        <w:t xml:space="preserve">ecolounge.hu, Balázs Attila (MTI), istockphoto.com</w:t>
      </w:r>
    </w:p>
    <w:p>
      <w:r>
        <w:rPr>
          <w:sz w:val="22"/>
          <w:szCs w:val="22"/>
        </w:rPr>
        <w:t xml:space="preserve">Táblázatok: </w:t>
      </w:r>
      <w:r>
        <w:rPr>
          <w:sz w:val="22"/>
          <w:szCs w:val="22"/>
          <w:i/>
          <w:iCs/>
        </w:rPr>
        <w:t xml:space="preserve">JATO Dynamics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https://news.smartermedia.hu/innovacio/jato-tovabbra-toyota-legtisztabb-autogyarto-europaban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2026-09-02T12:09:54+02:00</dcterms:created>
  <dcterms:modified xsi:type="dcterms:W3CDTF">2026-09-02T12:09:54+02:00</dcterms:modified>
  <dc:title/>
  <dc:description/>
  <dc:subject/>
  <cp:keywords/>
  <cp:category/>
</cp:coreProperties>
</file>