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Fotók és új részletek szivárogtak ki a vadonatúj Toyota Land Cruiserről</w:t>
      </w:r>
    </w:p>
    <w:p>
      <w:r>
        <w:rPr>
          <w:sz w:val="22"/>
          <w:szCs w:val="22"/>
          <w:b/>
        </w:rPr>
        <w:t xml:space="preserve">Dél-Afrikában már rendelhető a Toyota Land Cruiser vadonatúj, 300-as szériája. A kiszivárgott helyi kereskedői tájékoztató anyagokból és fotókból érdekes információkat tudhatunk meg az új generációs modellről – például hogy lesz GR Sport változat!</w:t>
      </w:r>
    </w:p>
    <w:p/>
    <w:p>
      <w:pPr>
        <w:spacing w:after="100"/>
      </w:pPr>
      <w:r>
        <w:rPr>
          <w:sz w:val="22"/>
          <w:szCs w:val="22"/>
        </w:rPr>
        <w:t xml:space="preserve">A legfrissebb információk szerint május végén, június elején tartja hivatalos világpremierjét a Toyota Land Cruiser új generációs modellje, az LC300. Vannak azonban piacok, ahol már most is megrendelhető az újdonság, sőt, már szállítás alatt vannak az új modellek – ilyen Dél-Afrika, amely kiemelt jelentőségű régió a Toyota világában.</w:t>
      </w:r>
    </w:p>
    <w:p>
      <w:pPr>
        <w:spacing w:after="100"/>
      </w:pPr>
      <w:r>
        <w:rPr>
          <w:sz w:val="22"/>
          <w:szCs w:val="22"/>
        </w:rPr>
        <w:t xml:space="preserve">Nemcsak azért, mert itt készülnek a márka Dakar-győztes tereprali versenyautói, hanem mert az ország hatvan éve számít kulcsfontosságú szereplőnek a Toyota globális gyártóhálózatában. A világpremiert megelőző piaci bevezetéshez kapcsolódóan pedig </w:t>
      </w:r>
      <w:r>
        <w:rPr>
          <w:sz w:val="22"/>
          <w:szCs w:val="22"/>
          <w:b/>
        </w:rPr>
        <w:t xml:space="preserve">nyilvánosságra került jó néhány dokumentum és fotó</w:t>
      </w:r>
      <w:r>
        <w:rPr>
          <w:sz w:val="22"/>
          <w:szCs w:val="22"/>
        </w:rPr>
        <w:t xml:space="preserve"> (lásd: képgaléria), amelyek segítségével képet alkothatunk az autó számos fontos jellemzőjéről.</w:t>
      </w:r>
    </w:p>
    <w:p>
      <w:pPr>
        <w:spacing w:after="100"/>
      </w:pPr>
      <w:r>
        <w:rPr>
          <w:sz w:val="22"/>
          <w:szCs w:val="22"/>
        </w:rPr>
        <w:t xml:space="preserve">Az új hibrid (azaz a tradicionális létravázat a modern TNGA architektúra vezetőtámogató, biztonsági és kapcsolódási technológiáival ötvöző) TNGA-F platformra épülő modell motorpalettájáról korábban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részletes információkat szereztünk</w:t>
        </w:r>
      </w:hyperlink>
      <w:r>
        <w:rPr>
          <w:sz w:val="22"/>
          <w:szCs w:val="22"/>
        </w:rPr>
        <w:t xml:space="preserve">: tudni lehet például, hogy a későbbiekben öntöltő, sőt, akár plug-in hibrid hajtáslánccal is elérhető lesz a típus.</w:t>
      </w:r>
    </w:p>
    <w:p>
      <w:pPr>
        <w:spacing w:after="100"/>
      </w:pPr>
      <w:r>
        <w:rPr>
          <w:sz w:val="22"/>
          <w:szCs w:val="22"/>
        </w:rPr>
        <w:t xml:space="preserve">A bevezetéskor azonban szó sem lesz ilyen extravagáns opciókról, a modell kétféle V6-os motorral kerül forgalomba. A 3.3 literes dízelmotor 301 lóerős, 700 Nm-es lesz – ez 40 lóerővel, illetve 50 Nm-rel több, mint a korábbi motor, ami alighanem vigasztalja azokat, akik a 4.5 V8-as dízelmotor elvesztése miatt bánkódnak.</w:t>
      </w:r>
    </w:p>
    <w:p>
      <w:pPr>
        <w:spacing w:after="100"/>
      </w:pPr>
      <w:r>
        <w:rPr>
          <w:sz w:val="22"/>
          <w:szCs w:val="22"/>
        </w:rPr>
        <w:t xml:space="preserve">A benzinmotor egy </w:t>
      </w:r>
      <w:r>
        <w:rPr>
          <w:sz w:val="22"/>
          <w:szCs w:val="22"/>
          <w:b/>
        </w:rPr>
        <w:t xml:space="preserve">3.5 literes turbós erőforrás, 409 lóerővel és 650 Nm forgatónyomatékkal</w:t>
      </w:r>
      <w:r>
        <w:rPr>
          <w:sz w:val="22"/>
          <w:szCs w:val="22"/>
        </w:rPr>
        <w:t xml:space="preserve">; mindkét motorhoz </w:t>
      </w:r>
      <w:r>
        <w:rPr>
          <w:sz w:val="22"/>
          <w:szCs w:val="22"/>
          <w:b/>
        </w:rPr>
        <w:t xml:space="preserve">tízfokozatú automata sebességváltó</w:t>
      </w:r>
      <w:r>
        <w:rPr>
          <w:sz w:val="22"/>
          <w:szCs w:val="22"/>
        </w:rPr>
        <w:t xml:space="preserve">t kapcsol a Toyota. A megengedett legnagyobb össztömeg motorváltozattól függetlenül 3,23 tonna, ahogy </w:t>
      </w:r>
      <w:r>
        <w:rPr>
          <w:sz w:val="22"/>
          <w:szCs w:val="22"/>
          <w:b/>
        </w:rPr>
        <w:t xml:space="preserve">a legnagyobb vontatható tömeg (3,5 tonna)</w:t>
      </w:r>
      <w:r>
        <w:rPr>
          <w:sz w:val="22"/>
          <w:szCs w:val="22"/>
        </w:rPr>
        <w:t xml:space="preserve"> is megegyezik a két variáns esetében.</w:t>
      </w:r>
    </w:p>
    <w:p>
      <w:pPr>
        <w:spacing w:after="100"/>
      </w:pPr>
      <w:r>
        <w:rPr>
          <w:sz w:val="22"/>
          <w:szCs w:val="22"/>
        </w:rPr>
        <w:t xml:space="preserve">Az LC300 számos modern technológiai – mechanikus és elektronikus – megoldást alkalmaz. </w:t>
      </w:r>
      <w:r>
        <w:rPr>
          <w:sz w:val="22"/>
          <w:szCs w:val="22"/>
          <w:b/>
        </w:rPr>
        <w:t xml:space="preserve">A tetőlemez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alumíniumból készül</w:t>
      </w:r>
      <w:r>
        <w:rPr>
          <w:sz w:val="22"/>
          <w:szCs w:val="22"/>
        </w:rPr>
        <w:t xml:space="preserve">, ami egyrészt csökkenti a jármű tömegét, másrészt mélyebbre süllyeszti a tömegközéppontot. Szintén újdonság az elektronikus rögzítőfék, lesz adaptív lengéscsillapítás, és </w:t>
      </w:r>
      <w:r>
        <w:rPr>
          <w:sz w:val="22"/>
          <w:szCs w:val="22"/>
          <w:b/>
        </w:rPr>
        <w:t xml:space="preserve">továbbfejlesztett</w:t>
      </w:r>
      <w:r>
        <w:rPr>
          <w:sz w:val="22"/>
          <w:szCs w:val="22"/>
        </w:rPr>
        <w:t xml:space="preserve"> kivitelben teljesít szolgálatot a </w:t>
      </w:r>
      <w:r>
        <w:rPr>
          <w:sz w:val="22"/>
          <w:szCs w:val="22"/>
          <w:b/>
        </w:rPr>
        <w:t xml:space="preserve">KDSS kiiktatható kanyarstabilizátor</w:t>
      </w:r>
      <w:r>
        <w:rPr>
          <w:sz w:val="22"/>
          <w:szCs w:val="22"/>
        </w:rPr>
        <w:t xml:space="preserve">, ahogy kibővül a jármű környezetét észlelő, manőverezést segítő és ütközést elkerülő technológiák tudása is.</w:t>
      </w:r>
    </w:p>
    <w:p>
      <w:pPr>
        <w:spacing w:after="100"/>
      </w:pPr>
      <w:r>
        <w:rPr>
          <w:sz w:val="22"/>
          <w:szCs w:val="22"/>
        </w:rPr>
        <w:t xml:space="preserve">Mindez az alapfelszerelésként kínált </w:t>
      </w:r>
      <w:r>
        <w:rPr>
          <w:sz w:val="22"/>
          <w:szCs w:val="22"/>
          <w:b/>
        </w:rPr>
        <w:t xml:space="preserve">Toyota Safety Sense 2 csomag</w:t>
      </w:r>
      <w:r>
        <w:rPr>
          <w:sz w:val="22"/>
          <w:szCs w:val="22"/>
        </w:rPr>
        <w:t xml:space="preserve"> keretében lesz elérhető. Megjelenik a fedélzeten a </w:t>
      </w:r>
      <w:r>
        <w:rPr>
          <w:sz w:val="22"/>
          <w:szCs w:val="22"/>
          <w:b/>
        </w:rPr>
        <w:t xml:space="preserve">head-up kijelző</w:t>
      </w:r>
      <w:r>
        <w:rPr>
          <w:sz w:val="22"/>
          <w:szCs w:val="22"/>
        </w:rPr>
        <w:t xml:space="preserve">, valamint – a modern kor szavának engedve – </w:t>
      </w:r>
      <w:r>
        <w:rPr>
          <w:sz w:val="22"/>
          <w:szCs w:val="22"/>
          <w:b/>
        </w:rPr>
        <w:t xml:space="preserve">öt darab USB csatlakozó</w:t>
      </w:r>
      <w:r>
        <w:rPr>
          <w:sz w:val="22"/>
          <w:szCs w:val="22"/>
        </w:rPr>
        <w:t xml:space="preserve"> szolgálja ki az utasok igényeit, akik </w:t>
      </w:r>
      <w:r>
        <w:rPr>
          <w:sz w:val="22"/>
          <w:szCs w:val="22"/>
          <w:b/>
        </w:rPr>
        <w:t xml:space="preserve">akár klimatizált hátsó ülések</w:t>
      </w:r>
      <w:r>
        <w:rPr>
          <w:sz w:val="22"/>
          <w:szCs w:val="22"/>
        </w:rPr>
        <w:t xml:space="preserve">en is helyet foglalhatnak.</w:t>
      </w:r>
    </w:p>
    <w:p>
      <w:pPr>
        <w:spacing w:after="100"/>
      </w:pPr>
      <w:r>
        <w:rPr>
          <w:sz w:val="22"/>
          <w:szCs w:val="22"/>
        </w:rPr>
        <w:t xml:space="preserve">A különböző felszereltségi szinteket taglaló lista legizgalmasabb tagja kétségtelenül a </w:t>
      </w:r>
      <w:r>
        <w:rPr>
          <w:sz w:val="22"/>
          <w:szCs w:val="22"/>
          <w:b/>
        </w:rPr>
        <w:t xml:space="preserve">GR-S (Gazoo Racing Sport) kivitel</w:t>
      </w:r>
      <w:r>
        <w:rPr>
          <w:sz w:val="22"/>
          <w:szCs w:val="22"/>
        </w:rPr>
        <w:t xml:space="preserve">, ez azonban nem közúton, hanem terepen biztosít fokozott dinamikát.</w:t>
      </w:r>
    </w:p>
    <w:p>
      <w:r>
        <w:rPr>
          <w:sz w:val="22"/>
          <w:szCs w:val="22"/>
        </w:rPr>
        <w:t xml:space="preserve">A speciális lökhárítókkal és kerekekkel forgalomba kerülő GR-Sport fényezett és krómozott kilincsek, illetve tükörházak helyett egyszerű fekete elemeket kap, lespórolják róla az aerodinamikai csomagot, a 20 colos keréktárcsák helyett ésszerű 18 colos felniken gurul majd, az oldalsó fellépő pedig a fényűző, megvilágított kivitel helyett egyszerű, robusztus csőelem lesz.</w:t>
      </w:r>
    </w:p>
    <w:p>
      <w:pPr>
        <w:spacing w:after="100"/>
      </w:pPr>
      <w:r>
        <w:rPr>
          <w:sz w:val="22"/>
          <w:szCs w:val="22"/>
        </w:rPr>
        <w:t xml:space="preserve">Cserébe a részlegesen önzáró differenciálművek helyébe elöl és hátul egyaránt </w:t>
      </w:r>
      <w:r>
        <w:rPr>
          <w:sz w:val="22"/>
          <w:szCs w:val="22"/>
          <w:b/>
        </w:rPr>
        <w:t xml:space="preserve">zárható differenciálművek</w:t>
      </w:r>
      <w:r>
        <w:rPr>
          <w:sz w:val="22"/>
          <w:szCs w:val="22"/>
        </w:rPr>
        <w:t xml:space="preserve"> lépnek, </w:t>
      </w:r>
      <w:r>
        <w:rPr>
          <w:sz w:val="22"/>
          <w:szCs w:val="22"/>
          <w:b/>
        </w:rPr>
        <w:t xml:space="preserve">és alapfelszerelés lesz a fent említett, elektronikusan kiiktatható kanyarstabilizátor.</w:t>
      </w:r>
      <w:r>
        <w:rPr>
          <w:sz w:val="22"/>
          <w:szCs w:val="22"/>
        </w:rPr>
        <w:t xml:space="preserve"> Csak ez a modell lesz elérhető a vadonatúj Classic White gyöngyházszínű fehér fényezéssel, ami a fekete-piros bőrkárpitozással társítva hamisítatlan Gazoo Racing versenyhangulatot áraszt.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koleca.ru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https://news.smartermedia.hu/nemzetkozi-hirek/fotok-es-uj-reszletek-szivarogtak-ki-vadonatuj-toyota-land-cruiserrol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riss-motorokkal-es-sportverzioval-erkezik-az-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2026-10-31T10:59:51+01:00</dcterms:created>
  <dcterms:modified xsi:type="dcterms:W3CDTF">2026-10-31T10:59:51+01:00</dcterms:modified>
  <dc:title/>
  <dc:description/>
  <dc:subject/>
  <cp:keywords/>
  <cp:category/>
</cp:coreProperties>
</file>