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jpg" ContentType="image/jpeg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spacing w:after="150"/>
      </w:pPr>
      <w:r>
        <w:rPr>
          <w:sz w:val="30"/>
          <w:szCs w:val="30"/>
          <w:b/>
        </w:rPr>
        <w:t xml:space="preserve">A Toyota-csoport Európa legdinamikusabban növekvő autógyártója</w:t>
      </w:r>
    </w:p>
    <w:p>
      <w:r>
        <w:rPr>
          <w:sz w:val="22"/>
          <w:szCs w:val="22"/>
          <w:b/>
        </w:rPr>
        <w:t xml:space="preserve">Az év első nyolc hónapjának mérlege szerint ez Európai Unióban egyetlen autógyártó sincs, aki nagyobb arányban tudta volna növelni eladásait az előző év azonos időszakához képest, mint a Toyota Motor Company.</w:t>
      </w:r>
    </w:p>
    <w:p/>
    <w:p>
      <w:pPr>
        <w:spacing w:after="100"/>
      </w:pPr>
      <w:r>
        <w:rPr>
          <w:sz w:val="22"/>
          <w:szCs w:val="22"/>
        </w:rPr>
        <w:t xml:space="preserve">Ahogy januárban és februárban gyengélkedett az Európai Unió újautó-piaca, ugyanúgy jelentősen alulteljesítettek az autógyártók a nyár utolsó két hónapjában: júliusban 23,2%, augusztusban 19,1% volt az elmaradás 2020 azonos időszakához képest, derül ki az Európai Autógyártók Szövetsége (ACEA) által közzétett </w:t>
      </w:r>
      <w:hyperlink r:id="rId7" w:history="1">
        <w:r>
          <w:rPr>
            <w:color w:val="0000FF"/>
            <w:sz w:val="22"/>
            <w:szCs w:val="22"/>
            <w:b/>
            <w:u w:val="single"/>
          </w:rPr>
          <w:t xml:space="preserve">adatokból</w:t>
        </w:r>
      </w:hyperlink>
      <w:r>
        <w:rPr>
          <w:sz w:val="22"/>
          <w:szCs w:val="22"/>
        </w:rPr>
        <w:t xml:space="preserve">. A közbeeső négy hónapban (március-június) azonban szárnyaltak az eladások, így összességében 2021 első nyolc hónapját tekintve éves szinten 11,2%-os növekedést mutat a piac; az Európai Uniós országokban idén eddig 6,8 millió új személygépkocsi talált gazdára.</w:t>
      </w:r>
    </w:p>
    <w:p>
      <w:pPr>
        <w:spacing w:after="100"/>
      </w:pPr>
    </w:p>
    <w:p>
      <w:r>
        <w:pict>
          <v:shape type="#_x0000_t75" style="width:600px;height:394.5px">
            <v:imagedata r:id="rId8" o:title=""/>
          </v:shape>
        </w:pict>
      </w:r>
    </w:p>
    <w:p>
      <w:pPr>
        <w:spacing w:after="100"/>
      </w:pPr>
      <w:r>
        <w:rPr>
          <w:sz w:val="22"/>
          <w:szCs w:val="22"/>
        </w:rPr>
        <w:t xml:space="preserve">A legnagyobb autógyártók egy kivétellel növekedésről számolhattak be; egyetlen konszern sem tudta azonban a Toyota-csoportnál nagyobb mértékben emelni eladásait. A 26,1 százalékos növekedésnek köszönhetően a Toyota és Lexus márkákat tömörítő vállalat 6,4 százalékra növelte piaci részesedését az uniós piacokon, és ezzel megelőzte a Daimlert (Mercedes-Benz, Smart.)</w:t>
      </w:r>
    </w:p>
    <w:tbl>
      <w:tblPr>
        <w:tblStyle w:val="temp_table_style"/>
      </w:tblPr>
      <w:tblGrid>
        <w:gridCol w:w="800" w:type="dxa"/>
        <w:gridCol w:w="800" w:type="dxa"/>
        <w:gridCol w:w="800" w:type="dxa"/>
        <w:gridCol w:w="800" w:type="dxa"/>
        <w:gridCol w:w="800" w:type="dxa"/>
        <w:gridCol w:w="800" w:type="dxa"/>
      </w:tblGrid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  <w:b/>
              </w:rPr>
              <w:t xml:space="preserve">2021.01-08.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  <w:b/>
              </w:rPr>
              <w:t xml:space="preserve">Piacrész 2021(%)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  <w:b/>
              </w:rPr>
              <w:t xml:space="preserve">Piacrész 2020(%)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  <w:b/>
              </w:rPr>
              <w:t xml:space="preserve">Eladott autó 2021 (db)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  <w:b/>
              </w:rPr>
              <w:t xml:space="preserve">Eladott autó 2020 (db)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  <w:b/>
              </w:rPr>
              <w:t xml:space="preserve">Változás (%)21/20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Volkswagen csoport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26,5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26,2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1 804 769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1 602 053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+12,7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Stellantis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22,3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21,6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1 515 840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1 325 456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+14,4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Renault csoport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9,9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11,5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673 500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702 389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-4,1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Hyundai csoport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8,0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7,1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546 847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433 827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+26,1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BMW csoport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6,8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6,6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462 802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401 882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+15,2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  <w:b/>
              </w:rPr>
              <w:t xml:space="preserve">Toyota csoport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  <w:b/>
              </w:rPr>
              <w:t xml:space="preserve">6,4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  <w:b/>
              </w:rPr>
              <w:t xml:space="preserve">5,7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  <w:b/>
              </w:rPr>
              <w:t xml:space="preserve">437 514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  <w:b/>
              </w:rPr>
              <w:t xml:space="preserve">346 911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  <w:b/>
              </w:rPr>
              <w:t xml:space="preserve">+26,1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Daimler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5,4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6,0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370 299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368 100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+0,6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Ford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4,2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5,0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282 897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303 147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-6,7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Volvo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2,2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2,2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152 567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135 238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+12,8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Nissan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1,8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2,1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119 539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131 552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-9,1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Mazda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1,2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1,1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83 578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68 377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+22,2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Jaguar Land Rover csoport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0,7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0,7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50 888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41 656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+22,2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Mitsubishi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0,6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1,0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41 213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61 394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-32,9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Honda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0,4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0,5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28 365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32 720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-13,3</w:t>
            </w:r>
          </w:p>
        </w:tc>
      </w:tr>
    </w:tbl>
    <w:p/>
    <w:p>
      <w:pPr>
        <w:spacing w:after="100"/>
      </w:pPr>
      <w:r>
        <w:rPr>
          <w:sz w:val="22"/>
          <w:szCs w:val="22"/>
        </w:rPr>
        <w:t xml:space="preserve">Ami a márkák versenyét illeti, az idei remek szereplésnek köszönhetően a Toyota a tavalyi hetedik helyről a negyedikre lépett előre a rangsorban. A márka megelőzte a Mercedes-Benzt, a Škodát és a BMW-t is, és jelenleg mindössze 0,1 százalékpont választja el a dobogós helyezéstől. A Toyota 27,1 százalékos növekedését a tíz legnépszerűbb márka közül egy sem tudta megközelíteni.</w:t>
      </w:r>
    </w:p>
    <w:p>
      <w:pPr>
        <w:spacing w:after="100"/>
      </w:pPr>
      <w:r>
        <w:rPr>
          <w:sz w:val="22"/>
          <w:szCs w:val="22"/>
          <w:b/>
        </w:rPr>
        <w:t xml:space="preserve">Továbbra is a Toyota az egyetlen Európán kívüli márka a Top 10-ben.</w:t>
      </w:r>
      <w:r>
        <w:rPr>
          <w:sz w:val="22"/>
          <w:szCs w:val="22"/>
        </w:rPr>
        <w:t xml:space="preserve"> A prémium márkák mezőnyében a Lexus stabilan őrzi Top 10-es helyezését, a közeljövőben várható, új modellbevezetések – elsősorban a vadonatúj Lexus NX középkategóriás szabadidőjármű késő őszi érkezése – révén pedig akár további emelkedésbe is kezdhet a Lexus.</w:t>
      </w:r>
    </w:p>
    <w:tbl>
      <w:tblPr>
        <w:tblStyle w:val="temp_table_style"/>
      </w:tblPr>
      <w:tblGrid>
        <w:gridCol w:w="800" w:type="dxa"/>
        <w:gridCol w:w="800" w:type="dxa"/>
        <w:gridCol w:w="800" w:type="dxa"/>
        <w:gridCol w:w="800" w:type="dxa"/>
        <w:gridCol w:w="800" w:type="dxa"/>
        <w:gridCol w:w="800" w:type="dxa"/>
      </w:tblGrid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  <w:b/>
              </w:rPr>
              <w:t xml:space="preserve">2021.01-08.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  <w:b/>
              </w:rPr>
              <w:t xml:space="preserve">Piacrész 2021(%)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  <w:b/>
              </w:rPr>
              <w:t xml:space="preserve">Piacrész 2020(%)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  <w:b/>
              </w:rPr>
              <w:t xml:space="preserve">Eladott autó 2021 (db)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  <w:b/>
              </w:rPr>
              <w:t xml:space="preserve">Eladott autó 2020 (db)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  <w:b/>
              </w:rPr>
              <w:t xml:space="preserve">Változás (%)21/20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Volkswagen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11,8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11,7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803 633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716 983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+12,1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Peugeot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6,8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6,7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460 027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412 241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+11,6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Renault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6,2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7,6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423 029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467 537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-9,5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  <w:b/>
              </w:rPr>
              <w:t xml:space="preserve">Toyota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  <w:b/>
              </w:rPr>
              <w:t xml:space="preserve">6,1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  <w:b/>
              </w:rPr>
              <w:t xml:space="preserve">5,3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  <w:b/>
              </w:rPr>
              <w:t xml:space="preserve">416 076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  <w:b/>
              </w:rPr>
              <w:t xml:space="preserve">327 323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  <w:b/>
              </w:rPr>
              <w:t xml:space="preserve">+27,1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BMW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5,5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5,4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376 389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328 436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+14,6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Škoda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5,5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5,7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375 789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351 877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+6,8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Mercedes-Benz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5,1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5,8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349 888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357 877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-2,2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Audi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5,0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4,8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336 991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294 766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+14,3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Fiat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4,8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4,5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325 184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277 142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+17,3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Citroën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4,3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4,3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292 966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264 016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+11,0</w:t>
            </w:r>
          </w:p>
        </w:tc>
      </w:tr>
    </w:tbl>
    <w:p/>
    <w:p>
      <w:pPr>
        <w:spacing w:after="100"/>
      </w:pPr>
      <w:r>
        <w:rPr>
          <w:sz w:val="22"/>
          <w:szCs w:val="22"/>
        </w:rPr>
        <w:t xml:space="preserve">Fotók: </w:t>
      </w:r>
      <w:r>
        <w:rPr>
          <w:sz w:val="22"/>
          <w:szCs w:val="22"/>
          <w:i/>
          <w:iCs/>
        </w:rPr>
        <w:t xml:space="preserve">Toyota, Lexus</w:t>
      </w:r>
    </w:p>
    <w:p>
      <w:pPr>
        <w:spacing w:after="100"/>
      </w:pPr>
      <w:r>
        <w:rPr>
          <w:sz w:val="22"/>
          <w:szCs w:val="22"/>
        </w:rPr>
        <w:t xml:space="preserve">Adatok: </w:t>
      </w:r>
      <w:r>
        <w:rPr>
          <w:sz w:val="22"/>
          <w:szCs w:val="22"/>
          <w:i/>
          <w:iCs/>
        </w:rPr>
        <w:t xml:space="preserve">ACEA</w:t>
      </w:r>
    </w:p>
    <w:p/>
    <w:p>
      <w:r>
        <w:rPr>
          <w:sz w:val="22"/>
          <w:szCs w:val="22"/>
        </w:rPr>
        <w:t xml:space="preserve">Kiadta a Smarter Média Kommunikációs Ügynökség (</w:t>
      </w:r>
      <w:hyperlink r:id="rId9" w:history="1">
        <w:r>
          <w:rPr>
            <w:color w:val="0000FF"/>
            <w:sz w:val="22"/>
            <w:szCs w:val="22"/>
            <w:u w:val="single"/>
          </w:rPr>
          <w:t xml:space="preserve">http://news.smartermedia.hu</w:t>
        </w:r>
      </w:hyperlink>
      <w:r>
        <w:rPr>
          <w:sz w:val="22"/>
          <w:szCs w:val="22"/>
        </w:rPr>
        <w:t xml:space="preserve">)</w:t>
      </w:r>
    </w:p>
    <w:p>
      <w:r>
        <w:rPr>
          <w:sz w:val="22"/>
          <w:szCs w:val="22"/>
        </w:rPr>
        <w:t xml:space="preserve">Forrás: https://news.smartermedia.hu/nemzetkozi-hirek/toyota-csoport-europa-legdinamikusabban-novekvo-autogyartoja</w:t>
      </w:r>
    </w:p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  <w:style w:type="table" w:customStyle="1" w:styleId="temp_table_style">
    <w:name w:val="temp_table_style"/>
    <w:uiPriority w:val="99"/>
    <w:tblPr>
      <w:tblBorders>
        <w:top w:val="single" w:sz="10" w:color="000000"/>
        <w:left w:val="single" w:sz="10" w:color="000000"/>
        <w:right w:val="single" w:sz="10" w:color="000000"/>
        <w:bottom w:val="single" w:sz="10" w:color="000000"/>
        <w:insideH w:val="single" w:sz="10" w:color="000000"/>
        <w:insideV w:val="single" w:sz="10" w:color="000000"/>
      </w:tblBorders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8" Type="http://schemas.openxmlformats.org/officeDocument/2006/relationships/image" Target="media/section_image1.jpg"/>
  <Relationship Id="rId7" Type="http://schemas.openxmlformats.org/officeDocument/2006/relationships/hyperlink" Target="https://www.acea.auto/pc-registrations/passenger-car-registrations-11-2-eight-months-into-2021-23-2-in-july-19-1-in-august/" TargetMode="External"/>
  <Relationship Id="rId9" Type="http://schemas.openxmlformats.org/officeDocument/2006/relationships/hyperlink" Target="http://news.smartermedia.hu" TargetMode="Externa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2026-10-11T10:55:34+02:00</dcterms:created>
  <dcterms:modified xsi:type="dcterms:W3CDTF">2026-10-11T10:55:34+02:00</dcterms:modified>
  <dc:title/>
  <dc:description/>
  <dc:subject/>
  <cp:keywords/>
  <cp:category/>
</cp:coreProperties>
</file>