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Toyota-csoport Európa legdinamikusabban növekvő autógyártója</w:t>
      </w:r>
    </w:p>
    <w:p>
      <w:r>
        <w:rPr>
          <w:sz w:val="22"/>
          <w:szCs w:val="22"/>
          <w:b/>
        </w:rPr>
        <w:t xml:space="preserve">Az év első nyolc hónapjának mérlege szerint ez Európai Unióban egyetlen autógyártó sincs, aki nagyobb arányban tudta volna növelni eladásait az előző év azonos időszakához képest, mint a Toyota Motor Company.</w:t>
      </w:r>
    </w:p>
    <w:p/>
    <w:p>
      <w:pPr>
        <w:spacing w:after="100"/>
      </w:pPr>
      <w:r>
        <w:rPr>
          <w:sz w:val="22"/>
          <w:szCs w:val="22"/>
        </w:rPr>
        <w:t xml:space="preserve">Ahogy januárban és februárban gyengélkedett az Európai Unió újautó-piaca, ugyanúgy jelentősen alulteljesítettek az autógyártók a nyár utolsó két hónapjában: júliusban 23,2%, augusztusban 19,1% volt az elmaradás 2020 azonos időszakához képest, derül ki az Európai Autógyártók Szövetsége (ACEA) által közzétett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adatokból</w:t>
        </w:r>
      </w:hyperlink>
      <w:r>
        <w:rPr>
          <w:sz w:val="22"/>
          <w:szCs w:val="22"/>
        </w:rPr>
        <w:t xml:space="preserve">. A közbeeső négy hónapban (március-június) azonban szárnyaltak az eladások, így összességében 2021 első nyolc hónapját tekintve éves szinten 11,2%-os növekedést mutat a piac; az Európai Uniós országokban idén eddig 6,8 millió új személygépkocsi talált gazdára.</w:t>
      </w:r>
    </w:p>
    <w:p>
      <w:pPr>
        <w:spacing w:after="100"/>
      </w:pPr>
    </w:p>
    <w:p>
      <w:r>
        <w:pict>
          <v:shape type="#_x0000_t75" style="width:600px;height:39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legnagyobb autógyártók egy kivétellel növekedésről számolhattak be; egyetlen konszern sem tudta azonban a Toyota-csoportnál nagyobb mértékben emelni eladásait. A 26,1 százalékos növekedésnek köszönhetően a Toyota és Lexus márkákat tömörítő vállalat 6,4 százalékra növelte piaci részesedését az uniós piacokon, és ezzel megelőzte a Daimlert (Mercedes-Benz, Smart.)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1 804 769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1 602 053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1 515 840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1 325 456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673 500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546 847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462 802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437 514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346 911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368 100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282 897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303 147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152 567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119 539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131 552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83 578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68 377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márkák versenyét illeti, az idei remek szereplésnek köszönhetően a Toyota a tavalyi hetedik helyről a negyedikre lépett előre a rangsorban. A márka megelőzte a Mercedes-Benzt, a Škodát és a BMW-t is, és jelenleg mindössze 0,1 százalékpont választja el a dobogós helyezéstől. A Toyota 27,1 százalékos növekedését a tíz legnépszerűbb márka közül egy sem tudta megközelíteni.</w:t>
      </w:r>
    </w:p>
    <w:p>
      <w:pPr>
        <w:spacing w:after="100"/>
      </w:pPr>
      <w:r>
        <w:rPr>
          <w:sz w:val="22"/>
          <w:szCs w:val="22"/>
          <w:b/>
        </w:rPr>
        <w:t xml:space="preserve">Továbbra is a Toyota az egyetlen Európán kívüli márka a Top 10-ben.</w:t>
      </w:r>
      <w:r>
        <w:rPr>
          <w:sz w:val="22"/>
          <w:szCs w:val="22"/>
        </w:rPr>
        <w:t xml:space="preserve"> A prémium márkák mezőnyében a Lexus stabilan őrzi Top 10-es helyezését, a közeljövőben várható, új modellbevezetések – elsősorban a vadonatúj Lexus NX középkategóriás szabadidőjármű késő őszi érkezése – révén pedig akár további emelkedésbe is kezdhet a Lexus.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803 633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716 983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460 027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412 241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423 029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416 076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327 323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328 436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349 888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357 877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336 991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294 766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325 184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277 142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292 966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ACEA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https://news.smartermedia.hu/nemzetkozi-hirek/toyota-csoport-europa-legdinamikusabban-novekvo-autogyartoja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cea.auto/pc-registrations/passenger-car-registrations-11-2-eight-months-into-2021-23-2-in-july-19-1-in-august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2026-09-21T07:24:34+02:00</dcterms:created>
  <dcterms:modified xsi:type="dcterms:W3CDTF">2026-09-21T07:24:34+02:00</dcterms:modified>
  <dc:title/>
  <dc:description/>
  <dc:subject/>
  <cp:keywords/>
  <cp:category/>
</cp:coreProperties>
</file>