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Toyotákat vásárolt a DHL</w:t>
      </w:r>
    </w:p>
    <w:p>
      <w:r>
        <w:rPr>
          <w:sz w:val="22"/>
          <w:szCs w:val="22"/>
          <w:b/>
        </w:rPr>
        <w:t xml:space="preserve">Négyszáz darab Toyota Proace Electric segíti mostantól a globális futárszolgálat hollandiai munkáját. A helyi emissziótól mentes furgonok a kézbesítők mindennapi munkavégzését teszik tisztábbá.</w:t>
      </w:r>
    </w:p>
    <w:p/>
    <w:p>
      <w:pPr>
        <w:spacing w:after="100"/>
      </w:pPr>
      <w:r>
        <w:rPr>
          <w:sz w:val="22"/>
          <w:szCs w:val="22"/>
        </w:rPr>
        <w:t xml:space="preserve">Az 1969 óta működő DHL a német posta logisztikai részlegeként mára a világ egyik legnagyobb csomagszállítási szakértőjévé vált; a cég 400 ezer alkalmazottja a világ 220 országában évente 1,6 milliárd küldeményt juttat el a címzettekhez.</w:t>
      </w:r>
    </w:p>
    <w:p>
      <w:pPr>
        <w:spacing w:after="100"/>
      </w:pPr>
      <w:r>
        <w:rPr>
          <w:sz w:val="22"/>
          <w:szCs w:val="22"/>
        </w:rPr>
        <w:t xml:space="preserve">Egy ekkora vállalat esetében hatalmas jelentősége van a gépkocsiflotta környezeti kompatibilitásának. A cég 2008-ban vázolta fel emissziócsökkentési stratégiáját; hosszú távú célkitűzésük, hogy 2050-re teljes globális tevékenységüket klímasemlegessé tegyék. Ennek köztes állomásaként 2025-re a végső kiszállítások (azaz az elosztóközpontok és a címzettek közötti fuvarok) 70 százalékát emissziómentes járművekkel kívánják megvalósítani.</w:t>
      </w:r>
    </w:p>
    <w:p>
      <w:pPr>
        <w:spacing w:after="100"/>
      </w:pPr>
      <w:r>
        <w:rPr>
          <w:sz w:val="22"/>
          <w:szCs w:val="22"/>
        </w:rPr>
        <w:t xml:space="preserve">Ebbe a nemzetközi stratégiába illeszkedik bele a DHL hollandiai, belgiumi és luxemburgi tevékenységeinek középtávú célkitűzése, amelynek értelmében 2025-re teljes mértékben helyi károsanyag-kibocsátástól mentes járművekre cserélik járműparkjukat.</w:t>
      </w:r>
    </w:p>
    <w:p>
      <w:pPr>
        <w:spacing w:after="100"/>
      </w:pPr>
      <w:r>
        <w:rPr>
          <w:sz w:val="22"/>
          <w:szCs w:val="22"/>
        </w:rPr>
        <w:t xml:space="preserve">A DHL Benelux eddig mintegy ezer elektromos járművet üzemeltetett, ez a létszám azonban most jelentősen nőtt: a cég képviselői a napokban 400 darab Toyota Proace Electric villanymotoros áruszállítót vettek át és állítottak forgalomba. Az akkumulátoros elektromos járművek a küldemények kiszállításában jutnak szerephez: a Hollandiában működő 140 elosztó központban (CityHub) fogják őket munkára.</w:t>
      </w:r>
    </w:p>
    <w:p>
      <w:pPr>
        <w:spacing w:after="100"/>
      </w:pPr>
      <w:r>
        <w:rPr>
          <w:sz w:val="22"/>
          <w:szCs w:val="22"/>
        </w:rPr>
        <w:t xml:space="preserve">A Toyoták 75 kWh kapacitású akkumulátoruk egyetlen feltöltésével akár 330 kilométert képesek megtenni; ez a várakozások szerint 100-200 cím zaj, valamint káros anyagok kibocsátása nélküli kiszolgálására is elegendő lehet. A jármű akkumulátora 100 kW-os gyorstöltővel nem egészen egy óra alatt 80%-ra tölthető. Az akkumulátorra nyolc év vagy 160 ezer kilométer garanciát vállal a Toyota.</w:t>
      </w:r>
    </w:p>
    <w:p>
      <w:pPr>
        <w:spacing w:after="100"/>
      </w:pPr>
      <w:r>
        <w:rPr>
          <w:sz w:val="22"/>
          <w:szCs w:val="22"/>
        </w:rPr>
        <w:t xml:space="preserve">A Toyota Proace Electric villanymotorja 136 lóerős, maximális forgatónyomatéka 260 Nm, amely már elinduláskor rendelkezésre áll. A jármű végsebességét elektronikusan 130 km/órára korlátozták, álló helyzetből 13,1 másodperc alatt gyorsul 100 km/órára. A Proace Electric különösen takarékos üzemmódokkal is rendelkezik: ezekben a motorteljesítmény 109, illetve 82 lóerőre korlátozható, ami különösen hasznos, ha nem teljes terheléssel közlekedik a gépkocsi.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Toyota.nl, Newsline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https://news.smartermedia.hu/nemzetkozi-hirek/elektromos-toyotakat-vasarolt-dhl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2026-10-22T20:34:59+02:00</dcterms:created>
  <dcterms:modified xsi:type="dcterms:W3CDTF">2026-10-22T20:34:59+02:00</dcterms:modified>
  <dc:title/>
  <dc:description/>
  <dc:subject/>
  <cp:keywords/>
  <cp:category/>
</cp:coreProperties>
</file>