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Átfogó arculatváltást indított útjára a Lexus</w:t>
      </w:r>
    </w:p>
    <w:p>
      <w:r>
        <w:rPr>
          <w:sz w:val="22"/>
          <w:szCs w:val="22"/>
          <w:b/>
        </w:rPr>
        <w:t xml:space="preserve">Az évtized végére tervezett emissziómentes átállással párhuzamosan megjelenésében és üzletpolitikájában is megújul a Lexus. A világ első számú hibrid prémium márkája minden eddiginél magabiztosabban áll ki közönsége elé – méghozzá térségenként eltérő tartalommal.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NX mögött haladva szokatlan élményben lesz része az autósoknak. A márka karakteres stílusjegyei közül hiányzik a minőség szinonimájává vált, L betűs logó, a helyén büszke Lexus felirat hirdeti a modell hovatartozását. A változást minden piacán, Kínától Észak-Amerikáig egységesen vezeti be a márka, és nem csak az NX-nél: ugyanezzel a dizájnelemmel találkozhatunk az új generációs Lexus LX-nél is.</w:t>
      </w:r>
    </w:p>
    <w:p>
      <w:pPr>
        <w:spacing w:after="100"/>
      </w:pPr>
      <w:r>
        <w:rPr>
          <w:sz w:val="22"/>
          <w:szCs w:val="22"/>
        </w:rPr>
        <w:t xml:space="preserve">Miközben a hátsó típusjelzés leváltása (a többi, szokásos helyen marad a Lexus jellegzetes logója) mérföldkőként jelöli ki a változások kezdetét, az átalakulás jóval mélyrehatóbb, mint egy emblémacsere. A stílusváltás kimondottan ahhoz a stratégiai célkitűzéshez kapcsolódik, amelynek értelmében a márka 2030-ra minden elsődleges piacán, 2035-re pedig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egész világon tisztán elektromos üzeműre kívánja átállítani</w:t>
        </w:r>
      </w:hyperlink>
      <w:r>
        <w:rPr>
          <w:sz w:val="22"/>
          <w:szCs w:val="22"/>
        </w:rPr>
        <w:t xml:space="preserve"> teljes modellpalettáját. Aligha véletlen, hogy a logót kiváltó márkanév először épp a márka tisztán elektromos tanulmányautóin (Lexus LF-30 Electrified, 2019; illetve Lexus LF-Z Electrified, 2021) jelent meg először.</w:t>
      </w:r>
    </w:p>
    <w:p>
      <w:pPr>
        <w:spacing w:after="100"/>
      </w:pPr>
      <w:r>
        <w:rPr>
          <w:sz w:val="22"/>
          <w:szCs w:val="22"/>
        </w:rPr>
        <w:t xml:space="preserve">A változás élén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márka frissen kinevezett új globális igazgatója áll, aki szerint a Lexus ma már kellőképpen nagy és erős márka ahhoz, hogy egyes globális piacain elkezdjen eltérő termékportfolióval megjelenni. Ez részben már most is így van – a tisztán elektromos UX 300e nem kapható például az Egyesült Államokban, míg az Európai Unió piacai hiába vágynak a GX és LX óriás terepjárókra –, a jövőben azonban elképzelhetők lesznek olyan modellek, amelyeket konkrétan egy-egy piacra fejlesztenek. Ilyen lehet egy prémium kombi, amelynek Európában és Japánban egyaránt nagy keletje volna, vagy a nyújtott tengelytávú kompakt modellek, amelyek a kínai ügyfelek sajátos igényeit elégíthetnék ki.</w:t>
      </w:r>
    </w:p>
    <w:p>
      <w:pPr>
        <w:spacing w:after="100"/>
      </w:pPr>
      <w:r>
        <w:rPr>
          <w:sz w:val="22"/>
          <w:szCs w:val="22"/>
        </w:rPr>
        <w:t xml:space="preserve">Addig is, amíg elérkeznek a piac specifikus Lexus modellek, a márka megkettőzött lendülettel újítja meg termékeit. A típusfrissítésnek nem a logócsere az egyetlen, és még csak nem is a legfontosabb eszköze. Ahogy a Lexus észak-amerikai marketingvezetője,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 egy helyi szakfolyóiratnak nyilatkozva elmondta, az NX-nél bevezetett, új generációs infotainment rendszert a lehető legrövidebb időn belül be szeretnék vezetni a márka minden egyes típusában. </w:t>
      </w:r>
      <w:r>
        <w:rPr>
          <w:sz w:val="22"/>
          <w:szCs w:val="22"/>
          <w:i/>
          <w:iCs/>
        </w:rPr>
        <w:t xml:space="preserve">„Nem várjuk meg az esedékes modellfrissítéseket. Nem szabtunk magunknak konkrét határidőt, de úgy gondolom, 30 hónapon belül minden új gyártású Lexusban a most bemutatott, új generációs infotainment rendszerrel találkozhatnak az ügyfelek.”</w:t>
      </w:r>
    </w:p>
    <w:p>
      <w:pPr>
        <w:spacing w:after="100"/>
      </w:pPr>
      <w:r>
        <w:rPr>
          <w:sz w:val="22"/>
          <w:szCs w:val="22"/>
        </w:rPr>
        <w:t xml:space="preserve">Ennek a multimédiás rendszernek a legfontosabb újdonsága az érintőképernyő, ám a típustól függően 8-14 colos képátlójú monitorral szerelt rendszer tudása is lenyűgöző. A korábbiaknál gyorsabb processzort alkalmazó technológia támogatja a vezeték nélküli okostelefon-integrációt, kompatibilis számos zenei streaming szolgáltatással, valamint magától értetődő módon vezeték nélküli kapcsolaton keresztül tudja frissíteni a szoftverét, azaz képes folyamatosan megújulni, modernizálni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Motortrend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https://news.smartermedia.hu/nemzetkozi-hirek/atfogo-arculatvaltast-inditott-utjara-lexus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2026-09-01T08:07:15+02:00</dcterms:created>
  <dcterms:modified xsi:type="dcterms:W3CDTF">2026-09-01T08:07:15+02:00</dcterms:modified>
  <dc:title/>
  <dc:description/>
  <dc:subject/>
  <cp:keywords/>
  <cp:category/>
</cp:coreProperties>
</file>