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Egyedi versenyautókkal ünnepel a Toyota</w:t>
      </w:r>
    </w:p>
    <w:p>
      <w:r>
        <w:rPr>
          <w:sz w:val="22"/>
          <w:szCs w:val="22"/>
          <w:b/>
        </w:rPr>
        <w:t xml:space="preserve">Elkészült az ötvenedik Toyota GR Supra GT4. Ennek örömére a Gazoo Racing nagyon limitált példányszámban elkészíti a versenyautó speciális kivitelű változatát.</w:t>
      </w:r>
    </w:p>
    <w:p/>
    <w:p>
      <w:pPr>
        <w:spacing w:after="100"/>
      </w:pPr>
      <w:r>
        <w:rPr>
          <w:sz w:val="22"/>
          <w:szCs w:val="22"/>
        </w:rPr>
        <w:t xml:space="preserve">Minden szempontból sikeresnek mondható a Toyota globális GT4-es ügyfélprogramja. Két év alatt az autók világszerte több mint 250 futamon vettek rész, 78 alkalommal végeztek a dobogón, és 36 kategóriagyőzelmet arattak. Mindezt megkoronázza, hogy a Gazoo Racing a közelmúltban elkészült az ötvenedik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GR Supra GT4</w:t>
        </w:r>
      </w:hyperlink>
      <w:r>
        <w:rPr>
          <w:sz w:val="22"/>
          <w:szCs w:val="22"/>
        </w:rPr>
        <w:t xml:space="preserve">-es versenyautóval, és átadta azt tulajdonosának. Hogy emlékezetessé tegyék a kerek számot, különleges kiadást készítenek a kupéból.</w:t>
      </w:r>
    </w:p>
    <w:p>
      <w:pPr>
        <w:spacing w:after="100"/>
      </w:pPr>
      <w:r>
        <w:rPr>
          <w:sz w:val="22"/>
          <w:szCs w:val="22"/>
        </w:rPr>
        <w:t xml:space="preserve">A Toyota GR Supra GT4 „50 Edition” speciális Toyota Gazoo Racing árnyalatú piros fényezést kap. Mindkét oldalán, valamint a tetőlemezen és az utastérben egyedi logó hirdeti a modell jelentőségét. A belső térben egyedi kidolgozással találkozunk, a kagylóüléseket, valamint a karbon műszerfalborítást GR Supra GT4 felirat díszíti; az utóbbin sorszámozott plakettet is elhelyeztek. Erről egyébként azonnal kiderül a lényeg: mindössze hat példány készül a jubileumi versenyautóból, kettő-kettő kerülhet Ázsiába, Észak-Amerikába és Európába.</w:t>
      </w:r>
    </w:p>
    <w:p>
      <w:pPr>
        <w:spacing w:after="100"/>
      </w:pPr>
      <w:r>
        <w:rPr>
          <w:sz w:val="22"/>
          <w:szCs w:val="22"/>
        </w:rPr>
        <w:t xml:space="preserve">A limitált modell nettó ára 175 ezer euró, azaz ugyanannyi, mint a ’mezei’ versenyautóé. A műszaki tartalom szintén változatlan: a 3,0 literes turbómotor legnagyobb teljesítménye 430 lóerő, maximális forgatónyomatéka 650 Nm. A sebességváltó hétfokozatú automata, a hátsó differenciálmű részlegesen önzáró szerkezetű. A limitált kiadású szériát bárki megrendelheti, aki elég gyors; csupán egy e-mailt kell írnia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helyi Toyota Gazoo Racing</w:t>
        </w:r>
      </w:hyperlink>
      <w:r>
        <w:rPr>
          <w:sz w:val="22"/>
          <w:szCs w:val="22"/>
        </w:rPr>
        <w:t xml:space="preserve"> irodájának.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https://news.smartermedia.hu/nemzetkozi-hirek/egyedi-versenyautokkal-unnepel-toyota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gr-supra-gt4-sikeresen-atesett-az-sro-gt4-homologizacion" TargetMode="External"/>
  <Relationship Id="rId8" Type="http://schemas.openxmlformats.org/officeDocument/2006/relationships/hyperlink" Target="http://tgrcms@tgr-europe.com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2026-07-23T03:39:40+02:00</dcterms:created>
  <dcterms:modified xsi:type="dcterms:W3CDTF">2026-07-23T03:39:40+02:00</dcterms:modified>
  <dc:title/>
  <dc:description/>
  <dc:subject/>
  <cp:keywords/>
  <cp:category/>
</cp:coreProperties>
</file>