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értéktartás abszolút bajnoka</w:t>
      </w:r>
    </w:p>
    <w:p>
      <w:r>
        <w:rPr>
          <w:sz w:val="22"/>
          <w:szCs w:val="22"/>
          <w:b/>
        </w:rPr>
        <w:t xml:space="preserve">A D.J. Power leányvállalata átfogó elemzést készített az autópiaci szereplők várható értéktartásáról. A Toyota-csoport fölényesen uralta a mezőnyt.</w:t>
      </w:r>
    </w:p>
    <w:p/>
    <w:p>
      <w:pPr>
        <w:spacing w:after="100"/>
      </w:pPr>
      <w:r>
        <w:rPr>
          <w:sz w:val="22"/>
          <w:szCs w:val="22"/>
        </w:rPr>
        <w:t xml:space="preserve">A tudatos ügyfelek nem csak a vételárat, az üzemanyag-költségeket vagy a szervizigényt veszik figyelembe, amikor az autó használatának anyagi vonzatait mérlegelik, hanem az értéktartást is. Az, hogy egy konkrét modell adott idő elteltével eredeti piaci árának hány százalékát éri – azaz, hogy mennyiért lehet majd eladni –, alapvetően meghatározza a tulajdonlás összköltségeit.</w:t>
      </w:r>
    </w:p>
    <w:p>
      <w:pPr>
        <w:spacing w:after="100"/>
      </w:pPr>
      <w:r>
        <w:rPr>
          <w:sz w:val="22"/>
          <w:szCs w:val="22"/>
        </w:rPr>
        <w:t xml:space="preserve">A világ egyik legnevesebb autópiaci elemző szervezete, a D.J. Power a legváltozatosabb szempontok szerint, így várható értéktartásuk alapján is rangsorolja az autóipari márkákat. A cégcsoporthoz tartozó ALG több mint fél évszázados tapasztalattal rendelkezik ezen a téren, szakértőik az elmúlt két évtizedben 2%-os pontossággal jósolták meg előre egy-egy típus várható értéktartását.</w:t>
      </w:r>
    </w:p>
    <w:p>
      <w:pPr>
        <w:spacing w:after="100"/>
      </w:pPr>
      <w:r>
        <w:rPr>
          <w:sz w:val="22"/>
          <w:szCs w:val="22"/>
        </w:rPr>
        <w:t xml:space="preserve">A 2022-es modellévre vonatkozóan a szervezet huszonkilenc kategóriában értékelte nem kevesebb mint 274 különböző modell várható teljesítményét. Az elemzésben csak azok a márkák szerepeltek, amelyek legalább négy különböző szegmensben kínáltak modellt. Az eredmények az összes létező modellváltozat külön-külön megállapított, várható értéktartásának súlyozott átlagát tükrözik.</w:t>
      </w:r>
    </w:p>
    <w:p>
      <w:pPr>
        <w:spacing w:after="100"/>
      </w:pPr>
      <w:r>
        <w:rPr>
          <w:sz w:val="22"/>
          <w:szCs w:val="22"/>
        </w:rPr>
        <w:t xml:space="preserve">Az eredmények összegzésénél nyilvánvalóvá vált a Toyota-csoport fölénye: a Lexus típusai három, a Toyotáé pedig hét méretosztályban bizonyultak a legjobb várható értéktartású modellnek, ráadásul többségükben nem első ízben nyerték el ezt a címet. A Toyota Tacoma és a Toyota Tundra például négy éve sorban a legjobb értéktartású modell a közepes méretű és nagy pickupok között; a Toyota 4Runner, a Toyota Highlander és a Toyota RAV4 egyaránt három-három éve áll a dobogó tetején. Újoncként került az élre a Toyota Camry szedán, valamint az immár hibrid hajtáslánccal szerelt Toyota Sienna családi egyterű.</w:t>
      </w:r>
    </w:p>
    <w:p>
      <w:pPr>
        <w:spacing w:after="100"/>
      </w:pPr>
      <w:r>
        <w:rPr>
          <w:sz w:val="22"/>
          <w:szCs w:val="22"/>
        </w:rPr>
        <w:t xml:space="preserve">A Lexusnál az UX harmadik éve vezeti a városi szabadidőjárművek várható értéktartási rangsorát; a három üléssoros Lexus GX crossover, valamint a középkategóriás Lexus IS szedán pedig egyaránt sorban másodszor nyerte el a rangos címet.</w:t>
      </w:r>
    </w:p>
    <w:p>
      <w:pPr>
        <w:spacing w:after="100"/>
      </w:pPr>
      <w:r>
        <w:rPr>
          <w:sz w:val="22"/>
          <w:szCs w:val="22"/>
        </w:rPr>
        <w:t xml:space="preserve">A tíz kategóriagyőzelem mellett a felmérés abszolút elsőségeit is megszerezték a Toyota-csoport tagjai: a Toyota a tömegpiaci márkák, a Lexus pedig a prémium márkák között bizonyult a legjobb várható értéktartású márkának.</w:t>
      </w:r>
    </w:p>
    <w:p>
      <w:pPr>
        <w:spacing w:after="100"/>
      </w:pPr>
      <w:r>
        <w:rPr>
          <w:sz w:val="22"/>
          <w:szCs w:val="22"/>
        </w:rPr>
        <w:t xml:space="preserve">A teljes elemzés elérhető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https://news.smartermedia.hu/nemzetkozi-hirek/toyota-az-ertektartas-abszolut-bajnoka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dpower.com/business/press-releases/2022-canada-alg-residual-value-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2026-07-21T15:09:44+02:00</dcterms:created>
  <dcterms:modified xsi:type="dcterms:W3CDTF">2026-07-21T15:09:44+02:00</dcterms:modified>
  <dc:title/>
  <dc:description/>
  <dc:subject/>
  <cp:keywords/>
  <cp:category/>
</cp:coreProperties>
</file>