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jobb a Lexus márkaszervizeknél</w:t>
      </w:r>
    </w:p>
    <w:p>
      <w:r>
        <w:rPr>
          <w:sz w:val="22"/>
          <w:szCs w:val="22"/>
          <w:b/>
        </w:rPr>
        <w:t xml:space="preserve">Az észak-amerikai J.D. Power több mint 65 ezer autótulajdonost kérdezett meg új, garanciális autójuk karbantartásával és javíttatásával kapcsolatos tapasztalataikról. A Lexus-tulajdonosok messze a legelégedettebbek a piacon.</w:t>
      </w:r>
    </w:p>
    <w:p/>
    <w:p>
      <w:pPr>
        <w:spacing w:after="100"/>
      </w:pPr>
      <w:r>
        <w:rPr>
          <w:sz w:val="22"/>
          <w:szCs w:val="22"/>
        </w:rPr>
        <w:t xml:space="preserve">A J. D. Power negyvenkettő éve vizsgálja az észak-amerikai márkaszervizek által nyújtott szolgáltatások színvonalát. Az elmúlt négy évtizedben jelentős átalakulásokon ment át az iparág, különösen az utóbbi néhány évben, amikor az elektromos és digitális technológiák jó néhány hangsúlyt áthelyeztek az autóiparban.</w:t>
      </w:r>
    </w:p>
    <w:p>
      <w:pPr>
        <w:spacing w:after="100"/>
      </w:pPr>
      <w:r>
        <w:rPr>
          <w:sz w:val="22"/>
          <w:szCs w:val="22"/>
        </w:rPr>
        <w:t xml:space="preserve">A modern autók minden eddiginél gazdagabb technológiai tartalma, hálózatba kapcsolt főrendszerei, illetve részben vagy teljesen villamosított hajtásláncai miatt új megközelítést igényelnek a szervizektől, és ez az ügyfelek elvárásait, illetve az általuk alkalmazott kommunikációs és fizetési csatornákat is átformálta. A felmérésben azok a márkák tudtak jó eredményt elérni, akik a lehető leggyorsabban és legrugalmasabban alkalmazkodtak a megváltozott helyzethez, és a legteljesebb mértékben képesek kiaknázni az új lehetőségeket.</w:t>
      </w:r>
    </w:p>
    <w:p>
      <w:pPr>
        <w:spacing w:after="100"/>
      </w:pPr>
      <w:r>
        <w:rPr>
          <w:sz w:val="22"/>
          <w:szCs w:val="22"/>
        </w:rPr>
        <w:t xml:space="preserve">A J. D. Power 2022-es észak-amerikai ügyfélkezelési index (U.S. Customer Service Index, CSI) tanulmány öt részterületen pontozta a felmérésben részt vevő márkákat: ezek a szervizszolgáltatás minősége (ez a terület adta az összpontszám 32 százalékát), a szerviztanácsadók (19%), a jármű átvétele és leadása (19%), a márkaszerviz és az ügyféltér infrastrukturális felszereltsége (15%), valamint a márkaszerviz kezdeményezőképessége (15%) – ez utóbbi pontosan az új piaci helyzethez való, proaktív alkalmazkodás képességét mérte.</w:t>
      </w:r>
    </w:p>
    <w:p>
      <w:pPr>
        <w:spacing w:after="100"/>
      </w:pPr>
      <w:r>
        <w:rPr>
          <w:sz w:val="22"/>
          <w:szCs w:val="22"/>
        </w:rPr>
        <w:t xml:space="preserve">Ezen szempontok alapján a felmérés abszolút győztese, egyben a legjobb prémium márka a Lexus lett, a maximálisan adható 1000-ből 897 ponttal. Az élmezőnyben a Lexus az egyetlen prémium márka, amely 2021-hez képest javítani tudott eredményén: a második helyezett Cadillac 3 ponttal, a tavalyi első Porsche 20 ponttal rontott teljesítményén. Utóbbi az egyetlen európai prémium márka, amely az átlagosnál (866 pont) jobb eredményt tudott produkálni. A Lexus az elmúlt öt évben folyamatosan javította szervizelégedettségi indexét; ezzel ugyancsak egyedül áll a teljes prémium szegmensben.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rPr>
              <w:t xml:space="preserve">2020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2019</w:t>
            </w:r>
          </w:p>
        </w:tc>
        <w:tc>
          <w:tcPr>
            <w:tcW w:w="800" w:type="dxa"/>
            <w:tcBorders>
              <w:top w:val="single" w:sz="10" w:color="000000"/>
              <w:left w:val="single" w:sz="10" w:color="000000"/>
              <w:right w:val="single" w:sz="10" w:color="000000"/>
              <w:bottom w:val="single" w:sz="10" w:color="000000"/>
            </w:tcBorders>
          </w:tcPr>
          <w:p>
            <w:r>
              <w:rPr>
                <w:sz w:val="22"/>
                <w:szCs w:val="22"/>
              </w:rPr>
              <w:t xml:space="preserve">2018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rPr>
              <w:t xml:space="preserve">897</w:t>
            </w:r>
          </w:p>
        </w:tc>
        <w:tc>
          <w:tcPr>
            <w:tcW w:w="800" w:type="dxa"/>
            <w:tcBorders>
              <w:top w:val="single" w:sz="10" w:color="000000"/>
              <w:left w:val="single" w:sz="10" w:color="000000"/>
              <w:right w:val="single" w:sz="10" w:color="000000"/>
              <w:bottom w:val="single" w:sz="10" w:color="000000"/>
            </w:tcBorders>
          </w:tcPr>
          <w:p>
            <w:r>
              <w:rPr>
                <w:sz w:val="22"/>
                <w:szCs w:val="22"/>
              </w:rPr>
              <w:t xml:space="preserve">895</w:t>
            </w:r>
          </w:p>
        </w:tc>
        <w:tc>
          <w:tcPr>
            <w:tcW w:w="800" w:type="dxa"/>
            <w:tcBorders>
              <w:top w:val="single" w:sz="10" w:color="000000"/>
              <w:left w:val="single" w:sz="10" w:color="000000"/>
              <w:right w:val="single" w:sz="10" w:color="000000"/>
              <w:bottom w:val="single" w:sz="10" w:color="000000"/>
            </w:tcBorders>
          </w:tcPr>
          <w:p>
            <w:r>
              <w:rPr>
                <w:sz w:val="22"/>
                <w:szCs w:val="22"/>
              </w:rPr>
              <w:t xml:space="preserve">889</w:t>
            </w:r>
          </w:p>
        </w:tc>
        <w:tc>
          <w:tcPr>
            <w:tcW w:w="800" w:type="dxa"/>
            <w:tcBorders>
              <w:top w:val="single" w:sz="10" w:color="000000"/>
              <w:left w:val="single" w:sz="10" w:color="000000"/>
              <w:right w:val="single" w:sz="10" w:color="000000"/>
              <w:bottom w:val="single" w:sz="10" w:color="000000"/>
            </w:tcBorders>
          </w:tcPr>
          <w:p>
            <w:r>
              <w:rPr>
                <w:sz w:val="22"/>
                <w:szCs w:val="22"/>
              </w:rPr>
              <w:t xml:space="preserve">881</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883</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r>
              <w:rPr>
                <w:sz w:val="22"/>
                <w:szCs w:val="22"/>
              </w:rPr>
              <w:t xml:space="preserve">879</w:t>
            </w:r>
          </w:p>
        </w:tc>
        <w:tc>
          <w:tcPr>
            <w:tcW w:w="800" w:type="dxa"/>
            <w:tcBorders>
              <w:top w:val="single" w:sz="10" w:color="000000"/>
              <w:left w:val="single" w:sz="10" w:color="000000"/>
              <w:right w:val="single" w:sz="10" w:color="000000"/>
              <w:bottom w:val="single" w:sz="10" w:color="000000"/>
            </w:tcBorders>
          </w:tcPr>
          <w:p>
            <w:r>
              <w:rPr>
                <w:sz w:val="22"/>
                <w:szCs w:val="22"/>
              </w:rPr>
              <w:t xml:space="preserve">899</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893</w:t>
            </w:r>
          </w:p>
        </w:tc>
        <w:tc>
          <w:tcPr>
            <w:tcW w:w="800" w:type="dxa"/>
            <w:tcBorders>
              <w:top w:val="single" w:sz="10" w:color="000000"/>
              <w:left w:val="single" w:sz="10" w:color="000000"/>
              <w:right w:val="single" w:sz="10" w:color="000000"/>
              <w:bottom w:val="single" w:sz="10" w:color="000000"/>
            </w:tcBorders>
          </w:tcPr>
          <w:p>
            <w:r>
              <w:rPr>
                <w:sz w:val="22"/>
                <w:szCs w:val="22"/>
              </w:rPr>
              <w:t xml:space="preserve">874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856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855</w:t>
            </w:r>
          </w:p>
        </w:tc>
        <w:tc>
          <w:tcPr>
            <w:tcW w:w="800" w:type="dxa"/>
            <w:tcBorders>
              <w:top w:val="single" w:sz="10" w:color="000000"/>
              <w:left w:val="single" w:sz="10" w:color="000000"/>
              <w:right w:val="single" w:sz="10" w:color="000000"/>
              <w:bottom w:val="single" w:sz="10" w:color="000000"/>
            </w:tcBorders>
          </w:tcPr>
          <w:p>
            <w:r>
              <w:rPr>
                <w:sz w:val="22"/>
                <w:szCs w:val="22"/>
              </w:rPr>
              <w:t xml:space="preserve">847</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szegmens átlaga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861</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887</w:t>
            </w:r>
          </w:p>
        </w:tc>
        <w:tc>
          <w:tcPr>
            <w:tcW w:w="800" w:type="dxa"/>
            <w:tcBorders>
              <w:top w:val="single" w:sz="10" w:color="000000"/>
              <w:left w:val="single" w:sz="10" w:color="000000"/>
              <w:right w:val="single" w:sz="10" w:color="000000"/>
              <w:bottom w:val="single" w:sz="10" w:color="000000"/>
            </w:tcBorders>
          </w:tcPr>
          <w:p>
            <w:r>
              <w:rPr>
                <w:sz w:val="22"/>
                <w:szCs w:val="22"/>
              </w:rPr>
              <w:t xml:space="preserve">875</w:t>
            </w:r>
          </w:p>
        </w:tc>
        <w:tc>
          <w:tcPr>
            <w:tcW w:w="800" w:type="dxa"/>
            <w:tcBorders>
              <w:top w:val="single" w:sz="10" w:color="000000"/>
              <w:left w:val="single" w:sz="10" w:color="000000"/>
              <w:right w:val="single" w:sz="10" w:color="000000"/>
              <w:bottom w:val="single" w:sz="10" w:color="000000"/>
            </w:tcBorders>
          </w:tcPr>
          <w:p>
            <w:r>
              <w:rPr>
                <w:sz w:val="22"/>
                <w:szCs w:val="22"/>
              </w:rPr>
              <w:t xml:space="preserve">878</w:t>
            </w:r>
          </w:p>
        </w:tc>
        <w:tc>
          <w:tcPr>
            <w:tcW w:w="800" w:type="dxa"/>
            <w:tcBorders>
              <w:top w:val="single" w:sz="10" w:color="000000"/>
              <w:left w:val="single" w:sz="10" w:color="000000"/>
              <w:right w:val="single" w:sz="10" w:color="000000"/>
              <w:bottom w:val="single" w:sz="10" w:color="000000"/>
            </w:tcBorders>
          </w:tcPr>
          <w:p>
            <w:r>
              <w:rPr>
                <w:sz w:val="22"/>
                <w:szCs w:val="22"/>
              </w:rPr>
              <w:t xml:space="preserve">876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Jaguar</w:t>
            </w:r>
          </w:p>
        </w:tc>
        <w:tc>
          <w:tcPr>
            <w:tcW w:w="800" w:type="dxa"/>
            <w:tcBorders>
              <w:top w:val="single" w:sz="10" w:color="000000"/>
              <w:left w:val="single" w:sz="10" w:color="000000"/>
              <w:right w:val="single" w:sz="10" w:color="000000"/>
              <w:bottom w:val="single" w:sz="10" w:color="000000"/>
            </w:tcBorders>
          </w:tcPr>
          <w:p>
            <w:r>
              <w:rPr>
                <w:sz w:val="22"/>
                <w:szCs w:val="22"/>
              </w:rPr>
              <w:t xml:space="preserve">858</w:t>
            </w:r>
          </w:p>
        </w:tc>
        <w:tc>
          <w:tcPr>
            <w:tcW w:w="800" w:type="dxa"/>
            <w:tcBorders>
              <w:top w:val="single" w:sz="10" w:color="000000"/>
              <w:left w:val="single" w:sz="10" w:color="000000"/>
              <w:right w:val="single" w:sz="10" w:color="000000"/>
              <w:bottom w:val="single" w:sz="10" w:color="000000"/>
            </w:tcBorders>
          </w:tcPr>
          <w:p>
            <w:r>
              <w:rPr>
                <w:sz w:val="22"/>
                <w:szCs w:val="22"/>
              </w:rPr>
              <w:t xml:space="preserve">853</w:t>
            </w:r>
          </w:p>
        </w:tc>
        <w:tc>
          <w:tcPr>
            <w:tcW w:w="800" w:type="dxa"/>
            <w:tcBorders>
              <w:top w:val="single" w:sz="10" w:color="000000"/>
              <w:left w:val="single" w:sz="10" w:color="000000"/>
              <w:right w:val="single" w:sz="10" w:color="000000"/>
              <w:bottom w:val="single" w:sz="10" w:color="000000"/>
            </w:tcBorders>
          </w:tcPr>
          <w:p>
            <w:r>
              <w:rPr>
                <w:sz w:val="22"/>
                <w:szCs w:val="22"/>
              </w:rPr>
              <w:t xml:space="preserve">830</w:t>
            </w:r>
          </w:p>
        </w:tc>
        <w:tc>
          <w:tcPr>
            <w:tcW w:w="800" w:type="dxa"/>
            <w:tcBorders>
              <w:top w:val="single" w:sz="10" w:color="000000"/>
              <w:left w:val="single" w:sz="10" w:color="000000"/>
              <w:right w:val="single" w:sz="10" w:color="000000"/>
              <w:bottom w:val="single" w:sz="10" w:color="000000"/>
            </w:tcBorders>
          </w:tcPr>
          <w:p>
            <w:r>
              <w:rPr>
                <w:sz w:val="22"/>
                <w:szCs w:val="22"/>
              </w:rPr>
              <w:t xml:space="preserve">825</w:t>
            </w:r>
          </w:p>
        </w:tc>
        <w:tc>
          <w:tcPr>
            <w:tcW w:w="800" w:type="dxa"/>
            <w:tcBorders>
              <w:top w:val="single" w:sz="10" w:color="000000"/>
              <w:left w:val="single" w:sz="10" w:color="000000"/>
              <w:right w:val="single" w:sz="10" w:color="000000"/>
              <w:bottom w:val="single" w:sz="10" w:color="000000"/>
            </w:tcBorders>
          </w:tcPr>
          <w:p>
            <w:r>
              <w:rPr>
                <w:sz w:val="22"/>
                <w:szCs w:val="22"/>
              </w:rPr>
              <w:t xml:space="preserve">841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863</w:t>
            </w:r>
          </w:p>
        </w:tc>
        <w:tc>
          <w:tcPr>
            <w:tcW w:w="800" w:type="dxa"/>
            <w:tcBorders>
              <w:top w:val="single" w:sz="10" w:color="000000"/>
              <w:left w:val="single" w:sz="10" w:color="000000"/>
              <w:right w:val="single" w:sz="10" w:color="000000"/>
              <w:bottom w:val="single" w:sz="10" w:color="000000"/>
            </w:tcBorders>
          </w:tcPr>
          <w:p>
            <w:r>
              <w:rPr>
                <w:sz w:val="22"/>
                <w:szCs w:val="22"/>
              </w:rPr>
              <w:t xml:space="preserve">852</w:t>
            </w:r>
          </w:p>
        </w:tc>
        <w:tc>
          <w:tcPr>
            <w:tcW w:w="800" w:type="dxa"/>
            <w:tcBorders>
              <w:top w:val="single" w:sz="10" w:color="000000"/>
              <w:left w:val="single" w:sz="10" w:color="000000"/>
              <w:right w:val="single" w:sz="10" w:color="000000"/>
              <w:bottom w:val="single" w:sz="10" w:color="000000"/>
            </w:tcBorders>
          </w:tcPr>
          <w:p>
            <w:r>
              <w:rPr>
                <w:sz w:val="22"/>
                <w:szCs w:val="22"/>
              </w:rPr>
              <w:t xml:space="preserve">840</w:t>
            </w:r>
          </w:p>
        </w:tc>
        <w:tc>
          <w:tcPr>
            <w:tcW w:w="800" w:type="dxa"/>
            <w:tcBorders>
              <w:top w:val="single" w:sz="10" w:color="000000"/>
              <w:left w:val="single" w:sz="10" w:color="000000"/>
              <w:right w:val="single" w:sz="10" w:color="000000"/>
              <w:bottom w:val="single" w:sz="10" w:color="000000"/>
            </w:tcBorders>
          </w:tcPr>
          <w:p>
            <w:r>
              <w:rPr>
                <w:sz w:val="22"/>
                <w:szCs w:val="22"/>
              </w:rPr>
              <w:t xml:space="preserve">842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849</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rPr>
              <w:t xml:space="preserve">868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r>
              <w:rPr>
                <w:sz w:val="22"/>
                <w:szCs w:val="22"/>
              </w:rPr>
              <w:t xml:space="preserve">836</w:t>
            </w:r>
          </w:p>
        </w:tc>
        <w:tc>
          <w:tcPr>
            <w:tcW w:w="800" w:type="dxa"/>
            <w:tcBorders>
              <w:top w:val="single" w:sz="10" w:color="000000"/>
              <w:left w:val="single" w:sz="10" w:color="000000"/>
              <w:right w:val="single" w:sz="10" w:color="000000"/>
              <w:bottom w:val="single" w:sz="10" w:color="000000"/>
            </w:tcBorders>
          </w:tcPr>
          <w:p>
            <w:r>
              <w:rPr>
                <w:sz w:val="22"/>
                <w:szCs w:val="22"/>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rPr>
              <w:t xml:space="preserve">834</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Land Rover</w:t>
            </w:r>
          </w:p>
        </w:tc>
        <w:tc>
          <w:tcPr>
            <w:tcW w:w="800" w:type="dxa"/>
            <w:tcBorders>
              <w:top w:val="single" w:sz="10" w:color="000000"/>
              <w:left w:val="single" w:sz="10" w:color="000000"/>
              <w:right w:val="single" w:sz="10" w:color="000000"/>
              <w:bottom w:val="single" w:sz="10" w:color="000000"/>
            </w:tcBorders>
          </w:tcPr>
          <w:p>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r>
              <w:rPr>
                <w:sz w:val="22"/>
                <w:szCs w:val="22"/>
              </w:rPr>
              <w:t xml:space="preserve">799</w:t>
            </w:r>
          </w:p>
        </w:tc>
        <w:tc>
          <w:tcPr>
            <w:tcW w:w="800" w:type="dxa"/>
            <w:tcBorders>
              <w:top w:val="single" w:sz="10" w:color="000000"/>
              <w:left w:val="single" w:sz="10" w:color="000000"/>
              <w:right w:val="single" w:sz="10" w:color="000000"/>
              <w:bottom w:val="single" w:sz="10" w:color="000000"/>
            </w:tcBorders>
          </w:tcPr>
          <w:p>
            <w:r>
              <w:rPr>
                <w:sz w:val="22"/>
                <w:szCs w:val="22"/>
              </w:rPr>
              <w:t xml:space="preserve">785</w:t>
            </w:r>
          </w:p>
        </w:tc>
        <w:tc>
          <w:tcPr>
            <w:tcW w:w="800" w:type="dxa"/>
            <w:tcBorders>
              <w:top w:val="single" w:sz="10" w:color="000000"/>
              <w:left w:val="single" w:sz="10" w:color="000000"/>
              <w:right w:val="single" w:sz="10" w:color="000000"/>
              <w:bottom w:val="single" w:sz="10" w:color="000000"/>
            </w:tcBorders>
          </w:tcPr>
          <w:p>
            <w:r>
              <w:rPr>
                <w:sz w:val="22"/>
                <w:szCs w:val="22"/>
              </w:rPr>
              <w:t xml:space="preserve">781</w:t>
            </w:r>
          </w:p>
        </w:tc>
        <w:tc>
          <w:tcPr>
            <w:tcW w:w="800" w:type="dxa"/>
            <w:tcBorders>
              <w:top w:val="single" w:sz="10" w:color="000000"/>
              <w:left w:val="single" w:sz="10" w:color="000000"/>
              <w:right w:val="single" w:sz="10" w:color="000000"/>
              <w:bottom w:val="single" w:sz="10" w:color="000000"/>
            </w:tcBorders>
          </w:tcPr>
          <w:p>
            <w:r>
              <w:rPr>
                <w:sz w:val="22"/>
                <w:szCs w:val="22"/>
              </w:rPr>
              <w:t xml:space="preserve">812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r>
              <w:rPr>
                <w:sz w:val="22"/>
                <w:szCs w:val="22"/>
              </w:rPr>
              <w:t xml:space="preserve">801</w:t>
            </w:r>
          </w:p>
        </w:tc>
        <w:tc>
          <w:tcPr>
            <w:tcW w:w="800" w:type="dxa"/>
            <w:tcBorders>
              <w:top w:val="single" w:sz="10" w:color="000000"/>
              <w:left w:val="single" w:sz="10" w:color="000000"/>
              <w:right w:val="single" w:sz="10" w:color="000000"/>
              <w:bottom w:val="single" w:sz="10" w:color="000000"/>
            </w:tcBorders>
          </w:tcPr>
          <w:p>
            <w:r>
              <w:rPr>
                <w:sz w:val="22"/>
                <w:szCs w:val="22"/>
              </w:rPr>
              <w:t xml:space="preserve">797</w:t>
            </w:r>
          </w:p>
        </w:tc>
        <w:tc>
          <w:tcPr>
            <w:tcW w:w="800" w:type="dxa"/>
            <w:tcBorders>
              <w:top w:val="single" w:sz="10" w:color="000000"/>
              <w:left w:val="single" w:sz="10" w:color="000000"/>
              <w:right w:val="single" w:sz="10" w:color="000000"/>
              <w:bottom w:val="single" w:sz="10" w:color="000000"/>
            </w:tcBorders>
          </w:tcPr>
          <w:p>
            <w:r>
              <w:rPr>
                <w:sz w:val="22"/>
                <w:szCs w:val="22"/>
              </w:rPr>
              <w:t xml:space="preserve">792</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Top Car News</w:t>
      </w:r>
    </w:p>
    <w:p>
      <w:pPr>
        <w:spacing w:after="100"/>
      </w:pPr>
      <w:r>
        <w:rPr>
          <w:sz w:val="22"/>
          <w:szCs w:val="22"/>
        </w:rPr>
        <w:t xml:space="preserve">Infografika:</w:t>
      </w:r>
      <w:r>
        <w:rPr>
          <w:sz w:val="22"/>
          <w:szCs w:val="22"/>
          <w:i/>
          <w:iCs/>
        </w:rPr>
        <w:t xml:space="preserve">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https://news.smartermedia.hu/nemzetkozi-hirek/nincs-jobb-lexus-markaszervizeknel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2026-10-02T20:10:24+02:00</dcterms:created>
  <dcterms:modified xsi:type="dcterms:W3CDTF">2026-10-02T20:10:24+02:00</dcterms:modified>
  <dc:title/>
  <dc:description/>
  <dc:subject/>
  <cp:keywords/>
  <cp:category/>
</cp:coreProperties>
</file>