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erősebb Európában a Toyota</w:t>
      </w:r>
    </w:p>
    <w:p>
      <w:r>
        <w:rPr>
          <w:sz w:val="22"/>
          <w:szCs w:val="22"/>
          <w:b/>
        </w:rPr>
        <w:t xml:space="preserve">Ez év első felében soha nem látott magasságokba emelkedett a Toyota európai piaci részesedése. Miután a tavalyi év első félévében az újautó-eladások 6,6 százalékáért felelt a japán gyártó, idén egy teljes százalékponttal jobb eredményt ért el, és ezzel megdöntötte korábbi rekordját.</w:t>
      </w:r>
    </w:p>
    <w:p/>
    <w:p>
      <w:pPr>
        <w:spacing w:after="100"/>
      </w:pPr>
      <w:r>
        <w:rPr>
          <w:sz w:val="22"/>
          <w:szCs w:val="22"/>
        </w:rPr>
        <w:t xml:space="preserve">Az év első hat hónapjában jelentős mértékben, 19 százalékkal esett vissza az európai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újautó-piac forgalma. A Toyota Motor Europe ehhez képest sikeresen lett úrrá a kedvezőtlen körülmények többségén, és 6 százalékra mérsékelte eladásainak (563 067 db jármű) éves szintű csökkenését. Ennek köszönhetően a márka jelentősen növelni tudta piaci részesedését: a tavalyi értéknél egy teljes százalékponttal magasabb, 7,6 százalékos piacrészt ért el, ami a Toyota Motor Europe fennállásának valaha volt legjobb első féléves eredménye.</w:t>
      </w:r>
    </w:p>
    <w:p>
      <w:pPr>
        <w:spacing w:after="100"/>
      </w:pPr>
      <w:r>
        <w:rPr>
          <w:sz w:val="22"/>
          <w:szCs w:val="22"/>
        </w:rPr>
        <w:t xml:space="preserve">Az eladásokat az előző évek trendjéhez hasonlóan a cégcsoport villamosított (hibrid, plug-in hibrid, tisztán elektromos és hidrogén üzemanyagcellás) típusai uralták 383 056 darabbal. Ezek aránya Nyugat-Európában 6 százalékpontos erősödés után elérte a 76 százalékot, azaz a vállalat forgalmának több mint háromnegyedét teszik ki. A térség egészére vetítve még markánsabb, 9 százalékpontos a villamosított modellek térnyerése: ezek az összeladások 68 százalékáért felelnek a régióban.</w:t>
      </w:r>
    </w:p>
    <w:p>
      <w:pPr>
        <w:spacing w:after="100"/>
      </w:pPr>
      <w:r>
        <w:rPr>
          <w:sz w:val="22"/>
          <w:szCs w:val="22"/>
        </w:rPr>
        <w:t xml:space="preserve">A Toyota márka 539 260 autót adott el Európában január és június között, 4 százalékkal kevesebbet, mint egy éve ugyanebben az időszakban. A legkeresettebb típusok a Corolla család tagjai, a Yaris és a Yaris Cross, a C-HR és a RAV4: ezek együttesen a forgalom háromnegyedét tették ki. A márka 363 962 villamosított autót adott el, 11 százalékkal többet, mint 2021 első hat hónapjában.</w:t>
      </w:r>
    </w:p>
    <w:p>
      <w:pPr>
        <w:spacing w:after="100"/>
      </w:pPr>
      <w:r>
        <w:rPr>
          <w:sz w:val="22"/>
          <w:szCs w:val="22"/>
        </w:rPr>
        <w:t xml:space="preserve">A részben vagy teljesen elektromos járművek aránya meghaladta az összeladások kétharmadát (69%.) Ennél is magasabb: 80 százalékos a Lexus modellmixén belül a villamosított típusok aránya. A cégcsoport prémium márkája 23 807 darabos eladást ért el az első félévben, elsősorban a szabadidőjárművek (RX, NX és UX) iránti, fokozott kereslet jóvoltából: ezeknek a típusoknak köszönhette forgalma 88 </w:t>
      </w:r>
      <w:r>
        <w:rPr>
          <w:sz w:val="22"/>
          <w:szCs w:val="22"/>
        </w:rPr>
        <w:t xml:space="preserve">százalékát a Lexus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A Toyota márka legkeresettebb típusai, és azon belül a villamosított változatok iránti kereslet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Összesen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PHEV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Villamosított</w:t>
            </w:r>
          </w:p>
          <w:p>
            <w:r>
              <w:rPr>
                <w:sz w:val="22"/>
                <w:szCs w:val="22"/>
              </w:rPr>
              <w:t xml:space="preserve">arány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85 438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66 722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77 749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72 874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69 590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69 383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69 548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42 640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12 939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ötajtós + Touring Sports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63 280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60 619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Sedan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41 243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25 136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28 040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19 594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2 093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Proace City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19 384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1 396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10 520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4 214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40,1%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Lexus márka legkeresettebb típusai, és azon belül a villamosított változatok iránti kereslet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Összesen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PHEV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Villamosított</w:t>
            </w:r>
          </w:p>
          <w:p>
            <w:r>
              <w:rPr>
                <w:sz w:val="22"/>
                <w:szCs w:val="22"/>
              </w:rPr>
              <w:t xml:space="preserve">arány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2 472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2 005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7 469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3 465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3 321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7 584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6 203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2 918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_____________________________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A Toyota Motor Europe működési területén, azaz Nyugat-, Közép- és Kelet-Európában, beleértve Ukrajnát, Törökországot és Oroszországot, továbbá Izraelben, Örményországban, Azerbajdzsánban, Grúziában és Kazahsztánban.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https://news.smartermedia.hu/nemzetkozi-hirek/minden-eddiginel-erosebb-europaban-toyota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2026-08-12T04:40:38+02:00</dcterms:created>
  <dcterms:modified xsi:type="dcterms:W3CDTF">2026-08-12T04:40:38+02:00</dcterms:modified>
  <dc:title/>
  <dc:description/>
  <dc:subject/>
  <cp:keywords/>
  <cp:category/>
</cp:coreProperties>
</file>