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Villamosítás: mindenkinek a legjobbat </w:t>
      </w:r>
    </w:p>
    <w:p>
      <w:r>
        <w:rPr>
          <w:sz w:val="22"/>
          <w:szCs w:val="22"/>
          <w:b/>
        </w:rPr>
        <w:t xml:space="preserve">A Toyota villamosítási törekvései kapcsán újra és újra felmerül a kritika: miért nem kötelezi el végre magát egyetlen optimális technológia mellett a világ legnagyobb autógyártója, és miért késlekedett sokáig a tisztán elektromos járművek bevezetésével? A vállalat Beyond Zero programját bemutató cikksorozatunk második részében ezeket az ellentmondásos kérdéseket járjuk körül, és ehhez kapcsolódóan áttekintjük a japán márka különböző villamosított járműtechnológiáinak fejlődését. </w:t>
      </w:r>
    </w:p>
    <w:p/>
    <w:p>
      <w:pPr>
        <w:spacing w:after="100"/>
      </w:pPr>
      <w:r>
        <w:rPr>
          <w:sz w:val="22"/>
          <w:szCs w:val="22"/>
        </w:rPr>
        <w:t xml:space="preserve">A Toyota ’Beyond Zero’ programja egy olyan átfogó stratégia, amely a mobilitást nem elsősorban műszaki, hanem emberi oldalról közelíti meg. Ezzel összhangban a Toyota leginkább </w:t>
      </w:r>
      <w:r>
        <w:rPr>
          <w:sz w:val="22"/>
          <w:szCs w:val="22"/>
          <w:b/>
        </w:rPr>
        <w:t xml:space="preserve">szolgáltatóként</w:t>
      </w:r>
      <w:r>
        <w:rPr>
          <w:sz w:val="22"/>
          <w:szCs w:val="22"/>
        </w:rPr>
        <w:t xml:space="preserve"> tekint magára, amelynek küldetése lehetővé tenni az ügyfelek számára a biztonságos, komfortos, praktikus közlekedést. Ugyanilyen fontos ugyanakkor az </w:t>
      </w:r>
      <w:r>
        <w:rPr>
          <w:sz w:val="22"/>
          <w:szCs w:val="22"/>
          <w:b/>
        </w:rPr>
        <w:t xml:space="preserve">ügyfelekkel ápolt kapcsolat minősége</w:t>
      </w:r>
      <w:r>
        <w:rPr>
          <w:sz w:val="22"/>
          <w:szCs w:val="22"/>
        </w:rPr>
        <w:t xml:space="preserve">, a vállalat viszonya </w:t>
      </w:r>
      <w:r>
        <w:rPr>
          <w:sz w:val="22"/>
          <w:szCs w:val="22"/>
          <w:b/>
        </w:rPr>
        <w:t xml:space="preserve">társadalmi és természeti környezetéhez</w:t>
      </w:r>
      <w:r>
        <w:rPr>
          <w:sz w:val="22"/>
          <w:szCs w:val="22"/>
        </w:rPr>
        <w:t xml:space="preserve">, és persze a klasszikus autógyártói szerepkör: a </w:t>
      </w:r>
      <w:r>
        <w:rPr>
          <w:sz w:val="22"/>
          <w:szCs w:val="22"/>
          <w:b/>
        </w:rPr>
        <w:t xml:space="preserve">járműtechnológiák fejlesztése és gyártása</w:t>
      </w:r>
      <w:r>
        <w:rPr>
          <w:sz w:val="22"/>
          <w:szCs w:val="22"/>
        </w:rPr>
        <w:t xml:space="preserve">. Cikksorozatunk mostani, második részében ez utóbbi történelmi hátterébe engedünk betekintést.</w:t>
      </w:r>
    </w:p>
    <w:p>
      <w:pPr>
        <w:spacing w:after="100"/>
      </w:pPr>
      <w:r>
        <w:rPr>
          <w:sz w:val="22"/>
          <w:szCs w:val="22"/>
        </w:rPr>
        <w:t xml:space="preserve">Azt minden autórajongó tudja, hogy a Toyota 1997-ben mutatta be a világ első sorozatgyártású full hibrid családi járművét. Az azonban már kevésbé ismert tény, hogy ezzel egy időben az akkumulátoros elektromos és üzemanyagcellás elektromos hajtástechnológiák terén is fontos mérföldkövekhez érkezett el a Toyota.</w:t>
      </w:r>
    </w:p>
    <w:p>
      <w:pPr>
        <w:spacing w:after="100"/>
      </w:pPr>
      <w:r>
        <w:rPr>
          <w:sz w:val="22"/>
          <w:szCs w:val="22"/>
        </w:rPr>
        <w:t xml:space="preserve">A személyes mobilitást forradalmasító, első generációs Toyota Priusszal egy időben, szintén </w:t>
      </w:r>
      <w:r>
        <w:rPr>
          <w:sz w:val="22"/>
          <w:szCs w:val="22"/>
          <w:b/>
        </w:rPr>
        <w:t xml:space="preserve">1997-ben került sorozatgyártásba a Toyota RAV4 villanymotoros, zéró károsanyag-kibocsátású változata, és ugyanekkor mutatkozott be a Toyota második generációs, szintén RAV4-esre épülő, hidrogén üzemanyagcellás prototípusa</w:t>
      </w:r>
      <w:r>
        <w:rPr>
          <w:sz w:val="22"/>
          <w:szCs w:val="22"/>
        </w:rPr>
        <w:t xml:space="preserve">. Ez a villamosítás abszolút úttörőjévé teszi a Toyotát, amely azonban nem érte be a történelmi elsőséggel. A vállalat az ezt követő negyed évszázad során az elektromos hajtástechnológiákat folyamatosan, nagy erőkkel fejlesztette, olyan mennyiségű és minőségű tudásra téve szert, amely a téma megkérdőjelezhetetlen szakértőjévé tette.</w:t>
      </w:r>
    </w:p>
    <w:p>
      <w:pPr>
        <w:spacing w:after="100"/>
      </w:pPr>
      <w:r>
        <w:rPr>
          <w:sz w:val="22"/>
          <w:szCs w:val="22"/>
        </w:rPr>
        <w:t xml:space="preserve">Pontosan ez a széles körű, felbecsülhetetlen tapasztalat készteti arra a Toyotát, hogy az autóiparban tapasztalható trendeken felülemelkedve egyforma jelentőségűként kezelje ezeket a területeket, ide sorolva a belső égésű motortechnológiák, illetve üzemanyagok folytonos fejlesztését és tökéletesítését is.</w:t>
      </w:r>
    </w:p>
    <w:p>
      <w:pPr>
        <w:spacing w:after="100"/>
      </w:pPr>
      <w:r>
        <w:rPr>
          <w:sz w:val="22"/>
          <w:szCs w:val="22"/>
        </w:rPr>
        <w:t xml:space="preserve">A végső célhoz – a mobilitás környezeti lábnyomának minimalizálásához, illetve felszámolásához – ugyanis minden piacon máshonnan kell eljutnunk, és ezért nem is ugyanazt az utat kell választanunk. A technológia fejlettségi szintje csupán egy a sok szempont közül: az egyes régiók infrastrukturális fejlettsége, a fogyasztók szemléletbeli fogékonysága, a fizetőképes kereslet változása mind meghatározzák, hogy hol, mikor, milyen célra mely technológia az alkalmasabb.</w:t>
      </w:r>
    </w:p>
    <w:p>
      <w:pPr>
        <w:spacing w:after="100"/>
      </w:pPr>
      <w:r>
        <w:rPr>
          <w:sz w:val="22"/>
          <w:szCs w:val="22"/>
        </w:rPr>
        <w:t xml:space="preserve">Az „alkalmas” alatt pedig nem mást értünk, mint hogy minden helyzetben azt a technológiát kell támogatni, bevezetni és erősíteni, amely az adott körülmények között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lehető legjobb hatásfokot</w:t>
      </w:r>
      <w:r>
        <w:rPr>
          <w:sz w:val="22"/>
          <w:szCs w:val="22"/>
        </w:rPr>
        <w:t xml:space="preserve"> (azaz az egységnyi energia felhasználásával előteremthető maximális hajtóerő) biztosítja, </w:t>
      </w:r>
      <w:r>
        <w:rPr>
          <w:sz w:val="22"/>
          <w:szCs w:val="22"/>
          <w:b/>
        </w:rPr>
        <w:t xml:space="preserve">minimális környezeti hatás</w:t>
      </w:r>
      <w:r>
        <w:rPr>
          <w:sz w:val="22"/>
          <w:szCs w:val="22"/>
        </w:rPr>
        <w:t xml:space="preserve"> (beleértve az energiahordozók, a hajtáslánc, valamint a kiegészítő rendszerek előállításával járó környezeti terhelést is) </w:t>
      </w:r>
      <w:r>
        <w:rPr>
          <w:sz w:val="22"/>
          <w:szCs w:val="22"/>
          <w:b/>
        </w:rPr>
        <w:t xml:space="preserve">és megfelelő használati érték mellett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Jó példa erre az akkumulátorok gyártása. Egy gyártónak mérlegelnie kell, hogy hogyan használ fel egységnyi tömeget, költséget és környezeti terhelést képviselő akkumulátort. </w:t>
      </w:r>
      <w:r>
        <w:rPr>
          <w:sz w:val="22"/>
          <w:szCs w:val="22"/>
          <w:b/>
        </w:rPr>
        <w:t xml:space="preserve">Annyi akkumulátorcellából, amennyit egy modern, nagy hatótávolságú villanyautóba beépítenek, akár fél tucatnyi plug-in hibrid vagy félszáz öntöltő hibrid gépkocsi akkumulátora is megépíthető.</w:t>
      </w:r>
    </w:p>
    <w:p>
      <w:pPr>
        <w:spacing w:after="100"/>
      </w:pPr>
      <w:r>
        <w:rPr>
          <w:sz w:val="22"/>
          <w:szCs w:val="22"/>
        </w:rPr>
        <w:t xml:space="preserve">Bizony elképzelhetők olyan helyzetek, amikor </w:t>
      </w:r>
      <w:r>
        <w:rPr>
          <w:sz w:val="22"/>
          <w:szCs w:val="22"/>
          <w:b/>
        </w:rPr>
        <w:t xml:space="preserve">azonos nyersanyag és akkumulátorgyártó kapacitás ráfordítása mellett ötven hibrid családi járművel</w:t>
      </w:r>
      <w:r>
        <w:rPr>
          <w:sz w:val="22"/>
          <w:szCs w:val="22"/>
        </w:rPr>
        <w:t xml:space="preserve"> összességében </w:t>
      </w:r>
      <w:r>
        <w:rPr>
          <w:sz w:val="22"/>
          <w:szCs w:val="22"/>
          <w:b/>
        </w:rPr>
        <w:t xml:space="preserve">jelentősen nagyobb mértékű emissziócsökkentést érhetünk el, mint egyetlen villanyautóval.</w:t>
      </w:r>
    </w:p>
    <w:p>
      <w:pPr>
        <w:spacing w:after="100"/>
      </w:pPr>
      <w:r>
        <w:rPr>
          <w:sz w:val="22"/>
          <w:szCs w:val="22"/>
        </w:rPr>
        <w:t xml:space="preserve">Hogy mennyire összetett a kérdés, jól szemlélteti az alábbi táblázat, amely a jelenleg rendelkezésre álló, alternatív energiahordozók egyes jellemzőit mutatja be. Bármelyik lehetőséget választjuk, az lemondásokkal és kompromisszumokkal jár. Tudni kell tehát, hogy az </w:t>
      </w:r>
      <w:r>
        <w:rPr>
          <w:sz w:val="22"/>
          <w:szCs w:val="22"/>
          <w:b/>
        </w:rPr>
        <w:t xml:space="preserve">adott piaci körülmények között melyik megoldás a leginkább alkalmas</w:t>
      </w:r>
      <w:r>
        <w:rPr>
          <w:sz w:val="22"/>
          <w:szCs w:val="22"/>
        </w:rPr>
        <w:t xml:space="preserve"> a rövid-, melyik a közép- és mely a hosszú távú célok elérésére. Ez a természetben előforduló biodiverzitás ipari megfelelője: a technológia alkalmazkodik a környezethez, és nem fordítva, az eredmény pedig egy fenntartható, adaptálódni és fejlődni képes mobilitási rendszer, amely hosszú távon képes megőrizni versenyképességét.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 energia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Hidrogén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üzemagyagcella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Bioüzemanyag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</w:t>
            </w:r>
          </w:p>
          <w:p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 kibocsátás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(forrástól a felhasználásig)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Rendelkezésre álló 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Hatótávolság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Újratöltés időigénye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Infrastruktúra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fenti táblázat nem teljes: hiányzik belőle például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 belső égésű motorokban történő felhasználásának</w:t>
        </w:r>
      </w:hyperlink>
      <w:r>
        <w:rPr>
          <w:sz w:val="22"/>
          <w:szCs w:val="22"/>
        </w:rPr>
        <w:t xml:space="preserve"> a lehetősége – noha az adottságok és szempontok jelentős részben megegyeznek az üzemanyagcellás rendszerekével, a kétféle technológia különböző fejlődési lehetőségeket tartogat, és eltérő piaci szegmenseket képes megszólítani. A villanymotoros hajtás önmagában sem egyszerűsíthető le erre a két alternatívára, hiszen nem mindegy, hogy az elektromos erőforrás egymagában, vagy belső égésű motorral megtámogatva mozgatja-e a járművet, sem az, hogy ez utóbbi esetben milyen arányban osztozik a két technológia a feladaton.</w:t>
      </w:r>
    </w:p>
    <w:p>
      <w:pPr>
        <w:spacing w:after="100"/>
      </w:pPr>
      <w:r>
        <w:rPr>
          <w:sz w:val="22"/>
          <w:szCs w:val="22"/>
        </w:rPr>
        <w:t xml:space="preserve">Noha a nagyközönség (és gyakran a szakma is) hajlamos markáns határvonalat vonni ezen területek (azaz a full hibridek, plug-in hibridek, akkumulátoros elektromos járművek) közé, a Toyota holisztikusabb megközelítést alkalmaz. Az elektromos komponenseket tekintve ugyanis alapvetően ugyanaz a műszaki tartalom található az összes alternatívában – a Beyond Zero családfáját az 1997-es ős-Priusig vezeti vissza a Toyota. A különbség a rendszerek méretezésében és hangolásában rejlik, és a fent vázolt piaci és gazdasági körülmények döntik el, hogy egy adott helyzetben melyik jelenti a legjobb megoldást.</w:t>
      </w:r>
    </w:p>
    <w:p>
      <w:pPr>
        <w:spacing w:after="100"/>
      </w:pPr>
      <w:r>
        <w:rPr>
          <w:sz w:val="22"/>
          <w:szCs w:val="22"/>
          <w:b/>
        </w:rPr>
        <w:t xml:space="preserve">Azok számára, akik autójukat nem tudják elektromos hálózatra csatlakoztatni, vagy olyan piacokon, ahol a hálózati elektromos energiát magas károsanyag-kibocsátású erőművekben termelik meg, nem fenntartató alternatíva az akkumulátorok hálózatról történő töltése.</w:t>
      </w:r>
      <w:r>
        <w:rPr>
          <w:sz w:val="22"/>
          <w:szCs w:val="22"/>
        </w:rPr>
        <w:t xml:space="preserve"> Ilyen esetben a </w:t>
      </w:r>
      <w:r>
        <w:rPr>
          <w:sz w:val="22"/>
          <w:szCs w:val="22"/>
          <w:b/>
        </w:rPr>
        <w:t xml:space="preserve">full (öntöltő) hibrid</w:t>
      </w:r>
      <w:r>
        <w:rPr>
          <w:sz w:val="22"/>
          <w:szCs w:val="22"/>
        </w:rPr>
        <w:t xml:space="preserve"> jelentheti a megoldást azok számára, akik csökkenteni szeretnék szénlábnyomukat.</w:t>
      </w:r>
    </w:p>
    <w:p>
      <w:pPr>
        <w:spacing w:after="100"/>
      </w:pPr>
      <w:r>
        <w:rPr>
          <w:sz w:val="22"/>
          <w:szCs w:val="22"/>
          <w:b/>
        </w:rPr>
        <w:t xml:space="preserve">Amennyiben egy régióban tisztább vagy gyakorlatilag zéró az elektromos energia előállításának környezeti terhelése (mert nukleáris vagy megújuló energiát használnak az áramfejlesztésre), nagyobb a létjogosultsága a plug-in hibrid, illetve akkumulátoros elektromos járműveknek.</w:t>
      </w:r>
      <w:r>
        <w:rPr>
          <w:sz w:val="22"/>
          <w:szCs w:val="22"/>
        </w:rPr>
        <w:t xml:space="preserve"> Az előbbiek akkor jelentenek célszerű megoldást, ha a felhasználó rövid távolságokon, de gyakran használja autóját, az utóbbiak megfelelően sűrű töltő infrastruktúrát feltételeznek.</w:t>
      </w:r>
    </w:p>
    <w:p>
      <w:pPr>
        <w:spacing w:after="100"/>
      </w:pPr>
      <w:r>
        <w:rPr>
          <w:sz w:val="22"/>
          <w:szCs w:val="22"/>
        </w:rPr>
        <w:t xml:space="preserve">Nagyobb távolságokon az akkumulátorok (ma még) lassú tölthetősége miatt ez utóbbi nem életképes alternatíva: ilyenkor vagy</w:t>
      </w:r>
      <w:r>
        <w:rPr>
          <w:sz w:val="22"/>
          <w:szCs w:val="22"/>
          <w:b/>
        </w:rPr>
        <w:t xml:space="preserve"> hibrid, vagy hidrogén üzemanyagcellás elektromos</w:t>
      </w:r>
      <w:r>
        <w:rPr>
          <w:sz w:val="22"/>
          <w:szCs w:val="22"/>
        </w:rPr>
        <w:t xml:space="preserve"> hajtáslánc jelenthet megoldást. Az utóbbi előnye az akár teljesen zéró károsanyag-kibocsátású működés (a hidrogén előállításának szénlábnyomától függően); feltétele viszont, hogy a felhasználó biztosítani tudja a hidrogéntartályok rendszeres feltöltését – például egy járműflotta központi állomáshelyén.</w:t>
      </w:r>
    </w:p>
    <w:p>
      <w:pPr>
        <w:spacing w:after="100"/>
      </w:pPr>
      <w:r>
        <w:rPr>
          <w:sz w:val="22"/>
          <w:szCs w:val="22"/>
        </w:rPr>
        <w:t xml:space="preserve">A Toyota-csoport európai portfoliójában (Toyota, Toyota Professional, Lexus) cikkünk írásakor tizennégy öntöltő hibrid, három hálózatról tölthető hibrid, négy tisztán elektromos modell és egyetlen hidrogén üzemanyagcellás típus szerepel – többségük már most is kapható, egy kis (ám annál fontosabb) részül a közeljövőben kerül bevezetésre. Ezek aránya a jelenlegi világpiaci adottságokat tükrözik, jövőbeli alakulásuk pedig a fent vázolt feltételek teljesülésétől, az infrastrukturális, jogi és szemléletbeli adottságok fejlődésétől függ – tükrözve a Beyond Zero program azon alapelvét, hogy a mobilitásnak nem a technológiáról, hanem az emberről kell szólnia.</w:t>
      </w:r>
    </w:p>
    <w:p>
      <w:pPr>
        <w:spacing w:after="100"/>
      </w:pPr>
      <w:r>
        <w:rPr>
          <w:sz w:val="22"/>
          <w:szCs w:val="22"/>
        </w:rPr>
        <w:t xml:space="preserve">A jövő héten folytatjuk a Toyota Beyond Zero stratégiájának építőköveit bemutató sorozatunkat. A soron következő cikkekben áttekintjük a belső égésű motorral támogatott (full hibrid és plug-in hibrid), majd a tisztán elektromos (akkumulátoros és hidrogén üzemanyagcellás) modellek, illetve hajtástechnológiák fejlődését.</w:t>
      </w:r>
    </w:p>
    <w:p>
      <w:pPr>
        <w:spacing w:after="100"/>
      </w:pPr>
      <w:r>
        <w:rPr>
          <w:sz w:val="22"/>
          <w:szCs w:val="22"/>
        </w:rPr>
        <w:t xml:space="preserve">Megismerkedünk a cégcsoport ügyfélközpontú filozófiájával – amely az ügyfélkapcsolattól az utasok biztonságáig több síkon helyezi előtérbe az embert –, felidézzük az autógyártóból mobilitási szolgáltatóvá való átalakulás lépéseit, végül sorra vesszük, hogyan tesz a környezeti és társadalmi fenntarthatóságért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https://news.smartermedia.hu/nemzetkozi-hirek/villamositas-mindenkinek-legjobbat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2026-10-02T17:13:35+02:00</dcterms:created>
  <dcterms:modified xsi:type="dcterms:W3CDTF">2026-10-02T17:13:35+02:00</dcterms:modified>
  <dc:title/>
  <dc:description/>
  <dc:subject/>
  <cp:keywords/>
  <cp:category/>
</cp:coreProperties>
</file>