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ember mindenekfelett</w:t>
      </w:r>
    </w:p>
    <w:p>
      <w:r>
        <w:rPr>
          <w:sz w:val="22"/>
          <w:szCs w:val="22"/>
          <w:b/>
        </w:rPr>
        <w:t xml:space="preserve">Egy felelősségteljesen gondolkodó gazdasági szereplő számára soha nem lehetnek másodlagosak működésének társadalmi hatásai. A Toyota ennek szellemében nem csupán tevékenysége minden területén ügyel arra, hogy azok a szűkebb és tágabb értelemben vett közösség javára váljanak, de a vállalat jövőjét meghatározó Beyond Zero-stratégiának is központi elemévé és haszonélvezőjévé tette az embert. Erről szól Beyond Zero-sorozatunk nyolcadik része.</w:t>
      </w:r>
    </w:p>
    <w:p/>
    <w:p>
      <w:pPr>
        <w:spacing w:after="100"/>
      </w:pPr>
      <w:r>
        <w:rPr>
          <w:sz w:val="22"/>
          <w:szCs w:val="22"/>
        </w:rPr>
        <w:t xml:space="preserve">A Beyond Zero-stratégia lényege szó szerint annyi, hogy túl kell tekintenünk a zéró emisszió célján. Hogy nem elegendő, ha minimalizáljuk – végső célként teljesen kiküszöböljük – a tevékenységünk nyomán keletkező káros anyagok mennyiségét,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nyersanyagok előállításától</w:t>
        </w:r>
      </w:hyperlink>
      <w:r>
        <w:rPr>
          <w:sz w:val="22"/>
          <w:szCs w:val="22"/>
        </w:rPr>
        <w:t xml:space="preserve"> kezdve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gyártáson</w:t>
        </w:r>
      </w:hyperlink>
      <w:r>
        <w:rPr>
          <w:sz w:val="22"/>
          <w:szCs w:val="22"/>
        </w:rPr>
        <w:t xml:space="preserve"> át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termékeink használatáig</w:t>
        </w:r>
      </w:hyperlink>
      <w:r>
        <w:rPr>
          <w:sz w:val="22"/>
          <w:szCs w:val="22"/>
        </w:rPr>
        <w:t xml:space="preserve"> és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élettartamuk végén</w:t>
        </w:r>
      </w:hyperlink>
      <w:r>
        <w:rPr>
          <w:sz w:val="22"/>
          <w:szCs w:val="22"/>
        </w:rPr>
        <w:t xml:space="preserve"> bekövetkező hasznosításáig.</w:t>
      </w:r>
    </w:p>
    <w:p>
      <w:pPr>
        <w:spacing w:after="100"/>
      </w:pPr>
      <w:r>
        <w:rPr>
          <w:sz w:val="22"/>
          <w:szCs w:val="22"/>
        </w:rPr>
        <w:t xml:space="preserve">Bár ezek a lépések elengedhetetlenül szükségesek ahhoz, hogy működésünket, létezésünket fenntarthatónak tekinthessük, a környezeti természet több szinten megvalósuló védelme mellett legalább olyan fontos, hogy harmóniában éljünk társadalmi környezetünkkel, egyéni és közösségi szinten egyaránt.</w:t>
      </w:r>
    </w:p>
    <w:p>
      <w:pPr>
        <w:spacing w:after="100"/>
      </w:pPr>
      <w:r>
        <w:rPr>
          <w:sz w:val="22"/>
          <w:szCs w:val="22"/>
        </w:rPr>
        <w:t xml:space="preserve">Ennek kardinális eleme az a szemléletváltás, amelynek értelmében autógyártóból mobilitási szolgáltatóvá lényegül át a Toyota, hogy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konkrét termékek helyett átfogó, rugalmas megoldásokat</w:t>
        </w:r>
      </w:hyperlink>
      <w:r>
        <w:rPr>
          <w:sz w:val="22"/>
          <w:szCs w:val="22"/>
        </w:rPr>
        <w:t xml:space="preserve"> biztosítson ügyfelei számára. A vállalat azonban nem csak a társadalom kiszolgálójaként, hanem annak felelősségteljes tagjaként is tekint magára. Ez pedig maga után vonja azt a vágyat és kötelezettséget, hogy élhetőbb, értékesebb, szebb világot teremtsünk minden embertársunk számára, legyen szó szabadidőről vagy munkavégzésről, gazdasági vagy szellemi fejlődésről, anyagi vagy erkölcsi támogatásról.</w:t>
      </w:r>
    </w:p>
    <w:p>
      <w:pPr>
        <w:spacing w:after="100"/>
      </w:pPr>
      <w:r>
        <w:rPr>
          <w:sz w:val="22"/>
          <w:szCs w:val="22"/>
        </w:rPr>
        <w:t xml:space="preserve">A világ legnagyobb autógyártójaként a Toyota számos síkon lép kapcsolatba a társadalom képviselőivel: beszállítói, munkatársai, szerződött partnerei, ügyfelei és részvényesei mellett azoknak a közösségeknek a rövid és hosszú távú boldogulását is meghatározza, amelyek otthont adnak globális tevékenységeinek, a gyártóüzemektől kezdve a logisztikai, kutatás-fejlesztési és formatervezési központokon át az értékesítési és ügyfélkezelési létesítményekig.</w:t>
      </w:r>
    </w:p>
    <w:p>
      <w:pPr>
        <w:spacing w:after="100"/>
      </w:pPr>
      <w:r>
        <w:rPr>
          <w:sz w:val="22"/>
          <w:szCs w:val="22"/>
        </w:rPr>
        <w:t xml:space="preserve">A Toyota és leányvállalatai világszerte a legjobb munkahelyek közé tartoznak. Erről számtalan díj és elismerés tanúskodik,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Fortune magazin szakmai listájától</w:t>
        </w:r>
      </w:hyperlink>
      <w:r>
        <w:rPr>
          <w:sz w:val="22"/>
          <w:szCs w:val="22"/>
        </w:rPr>
        <w:t xml:space="preserve"> kezdve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márkakereskedők elégedettségét</w:t>
        </w:r>
      </w:hyperlink>
      <w:r>
        <w:rPr>
          <w:sz w:val="22"/>
          <w:szCs w:val="22"/>
        </w:rPr>
        <w:t xml:space="preserve"> vizsgáló felmérésekig. A Toyota évek óta vezeti a leginkább befogadó,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sokszínűséget értékként kezelő autógyártók</w:t>
        </w:r>
      </w:hyperlink>
      <w:r>
        <w:rPr>
          <w:sz w:val="22"/>
          <w:szCs w:val="22"/>
        </w:rPr>
        <w:t xml:space="preserve"> észak-amerikai rangsorát, de a vállalat a világ számos pontján, így Európában is példát mutat az esélyegyenlőség, a munkahelyek biztosítása, az emberközpontúság terén. Ehhez kapcsolódnak az oktatás, a képzés és általában a szellemi kiteljesedés általános és specifikus fejlesztésére, támogatására fordított erőforrások.</w:t>
      </w:r>
    </w:p>
    <w:p>
      <w:pPr>
        <w:spacing w:after="100"/>
      </w:pPr>
      <w:r>
        <w:rPr>
          <w:sz w:val="22"/>
          <w:szCs w:val="22"/>
        </w:rPr>
        <w:t xml:space="preserve">Ez éppúgy igaz az olyan, globális léptékkel jelentéktelennek tűnő, de helyi szinten sorsfordítóan fontos kezdeményezésekre, mint egy-egy közkönyvtárprogram támogatása, vagy a világ több száz oktatási intézményét megmozgató kezdeményezésekre. Ez utóbbira egyedülálló példa az immár egy évtizedes múltra visszatekintő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Lexus Design Award</w:t>
        </w:r>
      </w:hyperlink>
      <w:r>
        <w:rPr>
          <w:sz w:val="22"/>
          <w:szCs w:val="22"/>
        </w:rPr>
        <w:t xml:space="preserve"> pályázat, amely nevével ellentétben elsősorban nem a formatervezésre helyezi a hangsúlyt, hanem különböző, társadalmi szempontból fontos kérdésekre, problémákra, felvetésekre vár lehetséges választ, megoldást a pályázóktól.</w:t>
      </w:r>
    </w:p>
    <w:p>
      <w:pPr>
        <w:spacing w:after="100"/>
      </w:pPr>
      <w:r>
        <w:rPr>
          <w:sz w:val="22"/>
          <w:szCs w:val="22"/>
        </w:rPr>
        <w:t xml:space="preserve">Támogatni persze nem csak pénzzel vagy tárgyadományokkal, hanem tudásátadással, a tanulás lehetőségének a megteremtésével is lehet. A Toyota ezért évekkel ezelőtt példamutató gyakorlatot honosított meg: a cég időről időre önzetlenül közkinccsé teszi értékes szabadalmait, a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robotikához</w:t>
        </w:r>
      </w:hyperlink>
      <w:r>
        <w:rPr>
          <w:sz w:val="22"/>
          <w:szCs w:val="22"/>
        </w:rPr>
        <w:t xml:space="preserve"> kapcsolódó szellemi termékektől kezdve a különböző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vegyipari fejlesztéseken</w:t>
        </w:r>
      </w:hyperlink>
      <w:r>
        <w:rPr>
          <w:sz w:val="22"/>
          <w:szCs w:val="22"/>
        </w:rPr>
        <w:t xml:space="preserve"> át a közlekedésbiztonsági </w:t>
      </w:r>
      <w:hyperlink r:id="rId18" w:history="1">
        <w:r>
          <w:rPr>
            <w:color w:val="0000FF"/>
            <w:sz w:val="22"/>
            <w:szCs w:val="22"/>
            <w:b/>
            <w:u w:val="single"/>
          </w:rPr>
          <w:t xml:space="preserve">szabványrendszerekig</w:t>
        </w:r>
      </w:hyperlink>
      <w:r>
        <w:rPr>
          <w:sz w:val="22"/>
          <w:szCs w:val="22"/>
        </w:rPr>
        <w:t xml:space="preserve">. Ezzel olyan innovációs start-upok számára is lehetővé teszik, hogy hozzájáruljanak a globális környezetvédelmi, mobilitási és balesetmegelőző technológiák fejlesztéséhez, akik nem rendelkeznek a Toyotáéhoz mérhető időbeli és anyagi erőforrásokkal.</w:t>
      </w:r>
    </w:p>
    <w:p>
      <w:pPr>
        <w:spacing w:after="100"/>
      </w:pPr>
      <w:r>
        <w:rPr>
          <w:sz w:val="22"/>
          <w:szCs w:val="22"/>
        </w:rPr>
        <w:t xml:space="preserve">A Toyota maga is aktívan keresi az értékes szinergiákat, hogy felgyorsítsa kulcsfontosságú technológiák fejlesztését. Ilyen például az az előremutató </w:t>
      </w:r>
      <w:hyperlink r:id="rId19" w:history="1">
        <w:r>
          <w:rPr>
            <w:color w:val="0000FF"/>
            <w:sz w:val="22"/>
            <w:szCs w:val="22"/>
            <w:b/>
            <w:u w:val="single"/>
          </w:rPr>
          <w:t xml:space="preserve">gyermekutas-védelmi megoldás</w:t>
        </w:r>
      </w:hyperlink>
      <w:r>
        <w:rPr>
          <w:sz w:val="22"/>
          <w:szCs w:val="22"/>
        </w:rPr>
        <w:t xml:space="preserve">, amely egy, a NASA által kidolgozott alapelvet adaptált és tökéletesített autóipari felhasználásra. A technológiai átadás a másik irányba is működik: a Toyota mérnökei például kitalálták, hogy tehetnék az autóiparban bevált megoldásokat felhasználva </w:t>
      </w:r>
      <w:hyperlink r:id="rId20" w:history="1">
        <w:r>
          <w:rPr>
            <w:color w:val="0000FF"/>
            <w:sz w:val="22"/>
            <w:szCs w:val="22"/>
            <w:b/>
            <w:u w:val="single"/>
          </w:rPr>
          <w:t xml:space="preserve">biztonságosabbá a kerekesszékes közlekedést</w:t>
        </w:r>
      </w:hyperlink>
      <w:r>
        <w:rPr>
          <w:sz w:val="22"/>
          <w:szCs w:val="22"/>
        </w:rPr>
        <w:t xml:space="preserve">. Mivel pedig a tudás nem kizárólagos, a Toyota igyekszik több csatornán megközelíteni ugyanazt a kérdéskört, ezért a vállalat mobilitási alapítványa néhány éve </w:t>
      </w:r>
      <w:hyperlink r:id="rId21" w:history="1">
        <w:r>
          <w:rPr>
            <w:color w:val="0000FF"/>
            <w:sz w:val="22"/>
            <w:szCs w:val="22"/>
            <w:b/>
            <w:u w:val="single"/>
          </w:rPr>
          <w:t xml:space="preserve">egymillió dolláros pályázatot</w:t>
        </w:r>
      </w:hyperlink>
      <w:r>
        <w:rPr>
          <w:sz w:val="22"/>
          <w:szCs w:val="22"/>
        </w:rPr>
        <w:t xml:space="preserve"> írt ki mozgássérültek életminőségét javító találmányok számára.</w:t>
      </w:r>
    </w:p>
    <w:p>
      <w:pPr>
        <w:spacing w:after="100"/>
      </w:pPr>
      <w:r>
        <w:rPr>
          <w:sz w:val="22"/>
          <w:szCs w:val="22"/>
        </w:rPr>
        <w:t xml:space="preserve">Ugyanehhez kapcsolódik az a munka, amelyet a Toyota robotikai részlege végez: kutatásaik során nem csak az autógyártási folyamatok tökéletesítésén fáradoznak, hanem azon is, hogy </w:t>
      </w:r>
      <w:hyperlink r:id="rId22" w:history="1">
        <w:r>
          <w:rPr>
            <w:color w:val="0000FF"/>
            <w:sz w:val="22"/>
            <w:szCs w:val="22"/>
            <w:b/>
            <w:u w:val="single"/>
          </w:rPr>
          <w:t xml:space="preserve">háztartási robotjaikkal</w:t>
        </w:r>
      </w:hyperlink>
      <w:r>
        <w:rPr>
          <w:sz w:val="22"/>
          <w:szCs w:val="22"/>
        </w:rPr>
        <w:t xml:space="preserve"> visszaadhassák az önmagukról gondoskodni csak korlátozott mértékben képes személyek számára a függetlenség élményét. Ez pedig tökéletesen illusztrálja azt az értékrendet, amely egyszerre kiindulási alapja és végső célja a Beyond Zero-stratégiának: a Toyota jelenében és jövőjében nincs fontosabb tényező, mint az ember.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2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https://news.smartermedia.hu/nemzetkozi-hirek/az-ember-mindenekfelett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kulonleges-technologiaval-gyart-akkumulator-nyersanyagot-toyota" TargetMode="External"/>
  <Relationship Id="rId8" Type="http://schemas.openxmlformats.org/officeDocument/2006/relationships/hyperlink" Target="https://news.smartermedia.hu/innovacio/kulonleges-aluminium-technologiaval-nyert-szakmai-dijat-toyota" TargetMode="External"/>
  <Relationship Id="rId9" Type="http://schemas.openxmlformats.org/officeDocument/2006/relationships/hyperlink" Target="https://news.smartermedia.hu/nemzetkozi-hirek/villamositas-mindenkinek-legjobbat" TargetMode="External"/>
  <Relationship Id="rId10" Type="http://schemas.openxmlformats.org/officeDocument/2006/relationships/hyperlink" Target="https://news.smartermedia.hu/nemzetkozi-hirek/auton-innen-auton-tul" TargetMode="External"/>
  <Relationship Id="rId11" Type="http://schemas.openxmlformats.org/officeDocument/2006/relationships/hyperlink" Target="https://news.smartermedia.hu/fotogaleriak/autozas-auto-nelkul" TargetMode="External"/>
  <Relationship Id="rId12" Type="http://schemas.openxmlformats.org/officeDocument/2006/relationships/hyperlink" Target="https://news.smartermedia.hu/nemzetkozi-hirek/fortune-magazin-toyota-vilag-legirigyeltebb-autogyartoja" TargetMode="External"/>
  <Relationship Id="rId13" Type="http://schemas.openxmlformats.org/officeDocument/2006/relationships/hyperlink" Target="https://news.smartermedia.hu/nemzetkozi-hirek/tovabbra-lexus-kereskedok-legelegedettebbek" TargetMode="External"/>
  <Relationship Id="rId14" Type="http://schemas.openxmlformats.org/officeDocument/2006/relationships/hyperlink" Target="https://news.smartermedia.hu/fotogaleriak/toyota-leginkabb-befogado-autogyarto" TargetMode="External"/>
  <Relationship Id="rId15" Type="http://schemas.openxmlformats.org/officeDocument/2006/relationships/hyperlink" Target="https://news.smartermedia.hu/innovacio/lexus-tiszta-vizre-es-fenyre-szavazott" TargetMode="External"/>
  <Relationship Id="rId16" Type="http://schemas.openxmlformats.org/officeDocument/2006/relationships/hyperlink" Target="https://news.smartermedia.hu/innovacio/kozkinccse-teszi-robotikai-szabadalmait-toyota" TargetMode="External"/>
  <Relationship Id="rId17" Type="http://schemas.openxmlformats.org/officeDocument/2006/relationships/hyperlink" Target="https://news.smartermedia.hu/innovacio/nanoreszecskek-hipermodern-fenyezesi-eljaras-urtechnologias-hoszabalyozas-mostantol-barki" TargetMode="External"/>
  <Relationship Id="rId18" Type="http://schemas.openxmlformats.org/officeDocument/2006/relationships/hyperlink" Target="https://news.smartermedia.hu/innovacio/egyseges-barki-altal-hasznalhato-kozlekedesbiztonsagi-szabvanyt-fejlesztett-ki-toyota" TargetMode="External"/>
  <Relationship Id="rId19" Type="http://schemas.openxmlformats.org/officeDocument/2006/relationships/hyperlink" Target="https://news.smartermedia.hu/fotogaleriak/urtechnologiaval-vigyaz-legkisebb-utasaira-toyota" TargetMode="External"/>
  <Relationship Id="rId20" Type="http://schemas.openxmlformats.org/officeDocument/2006/relationships/hyperlink" Target="https://news.smartermedia.hu/innovacio/autoipari-technologiakat-epitene-kerekesszekbe-toyota" TargetMode="External"/>
  <Relationship Id="rId21" Type="http://schemas.openxmlformats.org/officeDocument/2006/relationships/hyperlink" Target="https://news.smartermedia.hu/fotogaleriak/egymillio-most-hogy-milliokon-segithessenek-kesobb" TargetMode="External"/>
  <Relationship Id="rId22" Type="http://schemas.openxmlformats.org/officeDocument/2006/relationships/hyperlink" Target="https://news.smartermedia.hu/innovacio/toyota-gantry-robot-mindig-keznel-de-sosem-lab-alatt" TargetMode="External"/>
  <Relationship Id="rId2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2026-08-12T00:55:50+02:00</dcterms:created>
  <dcterms:modified xsi:type="dcterms:W3CDTF">2026-08-12T00:55:50+02:00</dcterms:modified>
  <dc:title/>
  <dc:description/>
  <dc:subject/>
  <cp:keywords/>
  <cp:category/>
</cp:coreProperties>
</file>