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Megállíthatatlanul nő a Yaris Cross népszerűsége</w:t>
      </w:r>
    </w:p>
    <w:p>
      <w:r>
        <w:rPr>
          <w:sz w:val="22"/>
          <w:szCs w:val="22"/>
          <w:b/>
        </w:rPr>
        <w:t xml:space="preserve">A Toyota-csoport mindkét globális márkája sikeres félévet tudhat maga mögött Európában. A Toyota megerősítette pozícióját, mint a piac második legnépszerűbb személyautó-márkája, míg a Lexus impozáns 43 százalékkal növelte eladásait 2022 azonos időszakához képest.</w:t>
      </w:r>
    </w:p>
    <w:p/>
    <w:p>
      <w:pPr>
        <w:spacing w:after="100"/>
      </w:pPr>
      <w:r>
        <w:rPr>
          <w:sz w:val="22"/>
          <w:szCs w:val="22"/>
        </w:rPr>
        <w:t xml:space="preserve">2023 első félévében a Toyota Motor Europe 573 976 gépkocsit adott el; 2 százalékkal többet, mint egy évvel korábban. Ennek 71,3 százaléka, 409 506 darab volt villamosított (full hibrid, plug-in hibrid, akkumulátoros elektromos vagy hidrogénüzemanyag-cellás), ami 3 százalékkal több,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Ezen belül a Toyota 539 956 gépkocsit értékesített Európa-szerte. A forgalom 19,4 százalékát a Yaris Cross tette ki – azaz kis híján minden ötödik Toyota-ügyfél a városi crossovert választotta –, ezzel az első negyedévhez hasonlóan most is masszív előnnyel vezeti a házon belüli népszerűségi rangsort a szubkompakt crossover. Immár igazoltnak mondható, hogy a városi szabadidőjármű nem a Yaristól vesz el vásárlókat: a klasszikus kisautó magabiztosan őrzi második helyét a Toyota márka eladásaiban. Kevéssel lemaradva követi a Corolla-család, majd tisztes távolból a CH-R – ez utóbbi a vadonatúj generációs modell bevezetésével új esélyt kap arra, hogy erősítse pozícióját a piacon.</w:t>
      </w:r>
    </w:p>
    <w:p>
      <w:pPr>
        <w:spacing w:after="100"/>
      </w:pPr>
      <w:r>
        <w:rPr>
          <w:sz w:val="22"/>
          <w:szCs w:val="22"/>
        </w:rPr>
        <w:t xml:space="preserve">Tíz Toyotából hetet villamosított hajtáslánccal adnak el. A Yaris Cross darabszámok tekintetében itt is vezető pozícióban áll, ugyanakkor az értékesítési mix tekintetében a Corolla ötajtós és kombi kivitelei, illetve a C-HR teljesítenek a legjobban: az előbbi esetén ezer vevőből 998, az utóbbinál 996 választja a hibrid modellt. A RAV4 középkategóriás szabadidőjármű esetében fontos megjegyezni, hogy a hibrid eladásokon (91,3%) belül 22 százalékot meghaladó volt a plug-in hybrid modellek aránya (7948 db.)</w:t>
      </w:r>
    </w:p>
    <w:p>
      <w:pPr>
        <w:spacing w:after="100"/>
      </w:pPr>
      <w:r>
        <w:rPr>
          <w:sz w:val="22"/>
          <w:szCs w:val="22"/>
        </w:rPr>
        <w:t xml:space="preserve">A Lexus európai forgalma egy év alatt 43 százalékkal emelkedett, és az első félév végére elérte a 34 020 darabot. Ennek 86 százaléka volt villamosított. A legkeresettebb Lexus az NX volt, azon belül pedig a plug-in hibrid verzió: az eladások 48,6 százalékát tette ki a hálózatról tölthető modell (a full hibrid pedig tőle alig lemaradva 47,6 százalékon állt. Három olyan típus is volt a prémiummárka kínálatában, amelyeken belül 96 százalék feletti volt a villamosított verziók aránya</w:t>
      </w:r>
    </w:p>
    <w:p>
      <w:pPr>
        <w:spacing w:after="100"/>
      </w:pPr>
      <w:r>
        <w:rPr>
          <w:sz w:val="22"/>
          <w:szCs w:val="22"/>
        </w:rPr>
        <w:t xml:space="preserve">Komoly eredményeket mutathat fel a cégcsoport akkumulátoros elektromos offenzívája: a Toyota bZ4X-ből fél év alatt 9642, a Lexus RZ-ből 701 darabot adtak el. Ez az összforgalom 1,8, illetve 2,0 százaléka.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104 564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49 968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33 069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38 731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35 354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15 414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 2 997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23 232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539 956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409 506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*** 8035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29 122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85,60%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full hibrid és plug-in hibrid együtt</w:t>
      </w:r>
    </w:p>
    <w:p>
      <w:pPr>
        <w:spacing w:after="100"/>
      </w:pPr>
      <w:r>
        <w:rPr>
          <w:sz w:val="22"/>
          <w:szCs w:val="22"/>
        </w:rPr>
        <w:t xml:space="preserve">** akkumulátoros elektromos</w:t>
      </w:r>
    </w:p>
    <w:p>
      <w:pPr>
        <w:spacing w:after="100"/>
      </w:pPr>
      <w:r>
        <w:rPr>
          <w:sz w:val="22"/>
          <w:szCs w:val="22"/>
        </w:rPr>
        <w:t xml:space="preserve">*** hibrid és akkumulátoros elektromos együtt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https://news.smartermedia.hu/nemzetkozi-hirek/megallithatatlanul-no-yaris-cross-nepszerusege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2026-07-02T21:26:22+02:00</dcterms:created>
  <dcterms:modified xsi:type="dcterms:W3CDTF">2026-07-02T21:26:22+02:00</dcterms:modified>
  <dc:title/>
  <dc:description/>
  <dc:subject/>
  <cp:keywords/>
  <cp:category/>
</cp:coreProperties>
</file>