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Az új Land Cruiser lehet a Toyota legsokoldalúbb típusa</w:t>
      </w:r>
    </w:p>
    <w:p>
      <w:r>
        <w:rPr>
          <w:sz w:val="22"/>
          <w:szCs w:val="22"/>
          <w:b/>
        </w:rPr>
        <w:t xml:space="preserve">Hosszú távon bármilyen hajtásláncopciót el tud képzelni új generációs globális zászlóshajójában a Toyota, beleértve az összes jelenlegi ismert villamosított alternatívát.</w:t>
      </w:r>
    </w:p>
    <w:p/>
    <w:p>
      <w:pPr>
        <w:spacing w:after="100"/>
      </w:pPr>
      <w:r>
        <w:rPr>
          <w:sz w:val="22"/>
          <w:szCs w:val="22"/>
        </w:rPr>
        <w:t xml:space="preserve">Amikor a Toyota 2023. augusztus elején bemutatta az új generációs – piactól függően Prado vagy 250 néven is jegyzett – Land Cruisert, azzal egyben globális hajtáslánc-stratégiáját is pontosan szemléltette. Az új generációs TNGA-F platformra épülő terepjárót a különböző piacokon eltérő motorválasztékkal kínálják, igazodva a helyi sajátosságokhoz, az ügyfelek elvárásai és a versenytársaknál elérhető alternatívák függvényében.</w:t>
      </w:r>
    </w:p>
    <w:tbl>
      <w:tblPr>
        <w:tblStyle w:val="temp_table_style"/>
      </w:tblPr>
      <w:tblGrid>
        <w:gridCol w:w="800" w:type="dxa"/>
        <w:gridCol w:w="800" w:type="dxa"/>
        <w:gridCol w:w="800" w:type="dxa"/>
        <w:gridCol w:w="800" w:type="dxa"/>
        <w:gridCol w:w="800" w:type="dxa"/>
        <w:gridCol w:w="800" w:type="dxa"/>
      </w:tblGrid>
      <w:tr>
        <w:tc>
          <w:tcPr>
            <w:tcW w:w="800" w:type="dxa"/>
            <w:tcBorders>
              <w:top w:val="single" w:sz="10" w:color="000000"/>
              <w:left w:val="single" w:sz="10" w:color="000000"/>
              <w:right w:val="single" w:sz="10" w:color="000000"/>
              <w:bottom w:val="single" w:sz="10" w:color="000000"/>
            </w:tcBorders>
          </w:tcPr>
          <w:p>
            <w:r>
              <w:rPr>
                <w:sz w:val="22"/>
                <w:szCs w:val="22"/>
              </w:rPr>
              <w:t xml:space="preserve">Motorkód</w:t>
            </w:r>
          </w:p>
        </w:tc>
        <w:tc>
          <w:tcPr>
            <w:tcW w:w="800" w:type="dxa"/>
            <w:tcBorders>
              <w:top w:val="single" w:sz="10" w:color="000000"/>
              <w:left w:val="single" w:sz="10" w:color="000000"/>
              <w:right w:val="single" w:sz="10" w:color="000000"/>
              <w:bottom w:val="single" w:sz="10" w:color="000000"/>
            </w:tcBorders>
          </w:tcPr>
          <w:p>
            <w:r>
              <w:rPr>
                <w:sz w:val="22"/>
                <w:szCs w:val="22"/>
              </w:rPr>
              <w:t xml:space="preserve">T24A-FTS</w:t>
            </w:r>
          </w:p>
        </w:tc>
        <w:tc>
          <w:tcPr>
            <w:tcW w:w="800" w:type="dxa"/>
            <w:tcBorders>
              <w:top w:val="single" w:sz="10" w:color="000000"/>
              <w:left w:val="single" w:sz="10" w:color="000000"/>
              <w:right w:val="single" w:sz="10" w:color="000000"/>
              <w:bottom w:val="single" w:sz="10" w:color="000000"/>
            </w:tcBorders>
          </w:tcPr>
          <w:p>
            <w:r>
              <w:rPr>
                <w:sz w:val="22"/>
                <w:szCs w:val="22"/>
              </w:rPr>
              <w:t xml:space="preserve">T24A-FTS</w:t>
            </w:r>
          </w:p>
        </w:tc>
        <w:tc>
          <w:tcPr>
            <w:tcW w:w="800" w:type="dxa"/>
            <w:tcBorders>
              <w:top w:val="single" w:sz="10" w:color="000000"/>
              <w:left w:val="single" w:sz="10" w:color="000000"/>
              <w:right w:val="single" w:sz="10" w:color="000000"/>
              <w:bottom w:val="single" w:sz="10" w:color="000000"/>
            </w:tcBorders>
          </w:tcPr>
          <w:p>
            <w:r>
              <w:rPr>
                <w:sz w:val="22"/>
                <w:szCs w:val="22"/>
              </w:rPr>
              <w:t xml:space="preserve">1GD-FTV</w:t>
            </w:r>
          </w:p>
        </w:tc>
        <w:tc>
          <w:tcPr>
            <w:tcW w:w="800" w:type="dxa"/>
            <w:tcBorders>
              <w:top w:val="single" w:sz="10" w:color="000000"/>
              <w:left w:val="single" w:sz="10" w:color="000000"/>
              <w:right w:val="single" w:sz="10" w:color="000000"/>
              <w:bottom w:val="single" w:sz="10" w:color="000000"/>
            </w:tcBorders>
          </w:tcPr>
          <w:p>
            <w:r>
              <w:rPr>
                <w:sz w:val="22"/>
                <w:szCs w:val="22"/>
              </w:rPr>
              <w:t xml:space="preserve">1GD-FTV</w:t>
            </w:r>
          </w:p>
        </w:tc>
        <w:tc>
          <w:tcPr>
            <w:tcW w:w="800" w:type="dxa"/>
            <w:tcBorders>
              <w:top w:val="single" w:sz="10" w:color="000000"/>
              <w:left w:val="single" w:sz="10" w:color="000000"/>
              <w:right w:val="single" w:sz="10" w:color="000000"/>
              <w:bottom w:val="single" w:sz="10" w:color="000000"/>
            </w:tcBorders>
          </w:tcPr>
          <w:p>
            <w:r>
              <w:rPr>
                <w:sz w:val="22"/>
                <w:szCs w:val="22"/>
              </w:rPr>
              <w:t xml:space="preserve">2TR-FE</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Erőforrás</w:t>
            </w:r>
          </w:p>
        </w:tc>
        <w:tc>
          <w:tcPr>
            <w:tcW w:w="800" w:type="dxa"/>
            <w:tcBorders>
              <w:top w:val="single" w:sz="10" w:color="000000"/>
              <w:left w:val="single" w:sz="10" w:color="000000"/>
              <w:right w:val="single" w:sz="10" w:color="000000"/>
              <w:bottom w:val="single" w:sz="10" w:color="000000"/>
            </w:tcBorders>
          </w:tcPr>
          <w:p>
            <w:r>
              <w:rPr>
                <w:sz w:val="22"/>
                <w:szCs w:val="22"/>
              </w:rPr>
              <w:t xml:space="preserve">2,4 literes benzines turbómotor + full hibrid</w:t>
            </w:r>
          </w:p>
        </w:tc>
        <w:tc>
          <w:tcPr>
            <w:tcW w:w="800" w:type="dxa"/>
            <w:tcBorders>
              <w:top w:val="single" w:sz="10" w:color="000000"/>
              <w:left w:val="single" w:sz="10" w:color="000000"/>
              <w:right w:val="single" w:sz="10" w:color="000000"/>
              <w:bottom w:val="single" w:sz="10" w:color="000000"/>
            </w:tcBorders>
          </w:tcPr>
          <w:p>
            <w:r>
              <w:rPr>
                <w:sz w:val="22"/>
                <w:szCs w:val="22"/>
              </w:rPr>
              <w:t xml:space="preserve">2,4 literes benzines turbómotor</w:t>
            </w:r>
          </w:p>
        </w:tc>
        <w:tc>
          <w:tcPr>
            <w:tcW w:w="800" w:type="dxa"/>
            <w:tcBorders>
              <w:top w:val="single" w:sz="10" w:color="000000"/>
              <w:left w:val="single" w:sz="10" w:color="000000"/>
              <w:right w:val="single" w:sz="10" w:color="000000"/>
              <w:bottom w:val="single" w:sz="10" w:color="000000"/>
            </w:tcBorders>
          </w:tcPr>
          <w:p>
            <w:r>
              <w:rPr>
                <w:sz w:val="22"/>
                <w:szCs w:val="22"/>
              </w:rPr>
              <w:t xml:space="preserve">2,8 literes turbódízel + 48V mild hibrid</w:t>
            </w:r>
          </w:p>
        </w:tc>
        <w:tc>
          <w:tcPr>
            <w:tcW w:w="800" w:type="dxa"/>
            <w:tcBorders>
              <w:top w:val="single" w:sz="10" w:color="000000"/>
              <w:left w:val="single" w:sz="10" w:color="000000"/>
              <w:right w:val="single" w:sz="10" w:color="000000"/>
              <w:bottom w:val="single" w:sz="10" w:color="000000"/>
            </w:tcBorders>
          </w:tcPr>
          <w:p>
            <w:r>
              <w:rPr>
                <w:sz w:val="22"/>
                <w:szCs w:val="22"/>
              </w:rPr>
              <w:t xml:space="preserve">2,8 literes turbódízel</w:t>
            </w:r>
          </w:p>
        </w:tc>
        <w:tc>
          <w:tcPr>
            <w:tcW w:w="800" w:type="dxa"/>
            <w:tcBorders>
              <w:top w:val="single" w:sz="10" w:color="000000"/>
              <w:left w:val="single" w:sz="10" w:color="000000"/>
              <w:right w:val="single" w:sz="10" w:color="000000"/>
              <w:bottom w:val="single" w:sz="10" w:color="000000"/>
            </w:tcBorders>
          </w:tcPr>
          <w:p>
            <w:r>
              <w:rPr>
                <w:sz w:val="22"/>
                <w:szCs w:val="22"/>
              </w:rPr>
              <w:t xml:space="preserve">2,7 literes benzinmotor</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Sebességváltó</w:t>
            </w:r>
          </w:p>
        </w:tc>
        <w:tc>
          <w:tcPr>
            <w:tcW w:w="800" w:type="dxa"/>
            <w:tcBorders>
              <w:top w:val="single" w:sz="10" w:color="000000"/>
              <w:left w:val="single" w:sz="10" w:color="000000"/>
              <w:right w:val="single" w:sz="10" w:color="000000"/>
              <w:bottom w:val="single" w:sz="10" w:color="000000"/>
            </w:tcBorders>
          </w:tcPr>
          <w:p>
            <w:r>
              <w:rPr>
                <w:sz w:val="22"/>
                <w:szCs w:val="22"/>
              </w:rPr>
              <w:t xml:space="preserve">8 AT</w:t>
            </w:r>
          </w:p>
        </w:tc>
        <w:tc>
          <w:tcPr>
            <w:tcW w:w="800" w:type="dxa"/>
            <w:tcBorders>
              <w:top w:val="single" w:sz="10" w:color="000000"/>
              <w:left w:val="single" w:sz="10" w:color="000000"/>
              <w:right w:val="single" w:sz="10" w:color="000000"/>
              <w:bottom w:val="single" w:sz="10" w:color="000000"/>
            </w:tcBorders>
          </w:tcPr>
          <w:p>
            <w:r>
              <w:rPr>
                <w:sz w:val="22"/>
                <w:szCs w:val="22"/>
              </w:rPr>
              <w:t xml:space="preserve">8 AT</w:t>
            </w:r>
          </w:p>
        </w:tc>
        <w:tc>
          <w:tcPr>
            <w:tcW w:w="800" w:type="dxa"/>
            <w:tcBorders>
              <w:top w:val="single" w:sz="10" w:color="000000"/>
              <w:left w:val="single" w:sz="10" w:color="000000"/>
              <w:right w:val="single" w:sz="10" w:color="000000"/>
              <w:bottom w:val="single" w:sz="10" w:color="000000"/>
            </w:tcBorders>
          </w:tcPr>
          <w:p>
            <w:r>
              <w:rPr>
                <w:sz w:val="22"/>
                <w:szCs w:val="22"/>
              </w:rPr>
              <w:t xml:space="preserve">8 AT</w:t>
            </w:r>
          </w:p>
        </w:tc>
        <w:tc>
          <w:tcPr>
            <w:tcW w:w="800" w:type="dxa"/>
            <w:tcBorders>
              <w:top w:val="single" w:sz="10" w:color="000000"/>
              <w:left w:val="single" w:sz="10" w:color="000000"/>
              <w:right w:val="single" w:sz="10" w:color="000000"/>
              <w:bottom w:val="single" w:sz="10" w:color="000000"/>
            </w:tcBorders>
          </w:tcPr>
          <w:p>
            <w:r>
              <w:rPr>
                <w:sz w:val="22"/>
                <w:szCs w:val="22"/>
              </w:rPr>
              <w:t xml:space="preserve">8 AT</w:t>
            </w:r>
          </w:p>
        </w:tc>
        <w:tc>
          <w:tcPr>
            <w:tcW w:w="800" w:type="dxa"/>
            <w:tcBorders>
              <w:top w:val="single" w:sz="10" w:color="000000"/>
              <w:left w:val="single" w:sz="10" w:color="000000"/>
              <w:right w:val="single" w:sz="10" w:color="000000"/>
              <w:bottom w:val="single" w:sz="10" w:color="000000"/>
            </w:tcBorders>
          </w:tcPr>
          <w:p>
            <w:r>
              <w:rPr>
                <w:sz w:val="22"/>
                <w:szCs w:val="22"/>
              </w:rPr>
              <w:t xml:space="preserve">6 AT</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Max. teljesítmény (kW / LE)</w:t>
            </w:r>
          </w:p>
        </w:tc>
        <w:tc>
          <w:tcPr>
            <w:tcW w:w="800" w:type="dxa"/>
            <w:tcBorders>
              <w:top w:val="single" w:sz="10" w:color="000000"/>
              <w:left w:val="single" w:sz="10" w:color="000000"/>
              <w:right w:val="single" w:sz="10" w:color="000000"/>
              <w:bottom w:val="single" w:sz="10" w:color="000000"/>
            </w:tcBorders>
          </w:tcPr>
          <w:p>
            <w:r>
              <w:rPr>
                <w:sz w:val="22"/>
                <w:szCs w:val="22"/>
              </w:rPr>
              <w:t xml:space="preserve">243 / 330</w:t>
            </w:r>
          </w:p>
        </w:tc>
        <w:tc>
          <w:tcPr>
            <w:tcW w:w="800" w:type="dxa"/>
            <w:tcBorders>
              <w:top w:val="single" w:sz="10" w:color="000000"/>
              <w:left w:val="single" w:sz="10" w:color="000000"/>
              <w:right w:val="single" w:sz="10" w:color="000000"/>
              <w:bottom w:val="single" w:sz="10" w:color="000000"/>
            </w:tcBorders>
          </w:tcPr>
          <w:p>
            <w:r>
              <w:rPr>
                <w:sz w:val="22"/>
                <w:szCs w:val="22"/>
              </w:rPr>
              <w:t xml:space="preserve">207 / 281</w:t>
            </w:r>
          </w:p>
        </w:tc>
        <w:tc>
          <w:tcPr>
            <w:tcW w:w="800" w:type="dxa"/>
            <w:tcBorders>
              <w:top w:val="single" w:sz="10" w:color="000000"/>
              <w:left w:val="single" w:sz="10" w:color="000000"/>
              <w:right w:val="single" w:sz="10" w:color="000000"/>
              <w:bottom w:val="single" w:sz="10" w:color="000000"/>
            </w:tcBorders>
          </w:tcPr>
          <w:p>
            <w:r>
              <w:rPr>
                <w:sz w:val="22"/>
                <w:szCs w:val="22"/>
              </w:rPr>
              <w:t xml:space="preserve">150 / 204</w:t>
            </w:r>
          </w:p>
        </w:tc>
        <w:tc>
          <w:tcPr>
            <w:tcW w:w="800" w:type="dxa"/>
            <w:tcBorders>
              <w:top w:val="single" w:sz="10" w:color="000000"/>
              <w:left w:val="single" w:sz="10" w:color="000000"/>
              <w:right w:val="single" w:sz="10" w:color="000000"/>
              <w:bottom w:val="single" w:sz="10" w:color="000000"/>
            </w:tcBorders>
          </w:tcPr>
          <w:p>
            <w:r>
              <w:rPr>
                <w:sz w:val="22"/>
                <w:szCs w:val="22"/>
              </w:rPr>
              <w:t xml:space="preserve">150 / 204</w:t>
            </w:r>
          </w:p>
        </w:tc>
        <w:tc>
          <w:tcPr>
            <w:tcW w:w="800" w:type="dxa"/>
            <w:tcBorders>
              <w:top w:val="single" w:sz="10" w:color="000000"/>
              <w:left w:val="single" w:sz="10" w:color="000000"/>
              <w:right w:val="single" w:sz="10" w:color="000000"/>
              <w:bottom w:val="single" w:sz="10" w:color="000000"/>
            </w:tcBorders>
          </w:tcPr>
          <w:p>
            <w:r>
              <w:rPr>
                <w:sz w:val="22"/>
                <w:szCs w:val="22"/>
              </w:rPr>
              <w:t xml:space="preserve">120 / 163</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Max. forgatónyomaték (Nm)</w:t>
            </w:r>
          </w:p>
        </w:tc>
        <w:tc>
          <w:tcPr>
            <w:tcW w:w="800" w:type="dxa"/>
            <w:tcBorders>
              <w:top w:val="single" w:sz="10" w:color="000000"/>
              <w:left w:val="single" w:sz="10" w:color="000000"/>
              <w:right w:val="single" w:sz="10" w:color="000000"/>
              <w:bottom w:val="single" w:sz="10" w:color="000000"/>
            </w:tcBorders>
          </w:tcPr>
          <w:p>
            <w:r>
              <w:rPr>
                <w:sz w:val="22"/>
                <w:szCs w:val="22"/>
              </w:rPr>
              <w:t xml:space="preserve">630</w:t>
            </w:r>
          </w:p>
        </w:tc>
        <w:tc>
          <w:tcPr>
            <w:tcW w:w="800" w:type="dxa"/>
            <w:tcBorders>
              <w:top w:val="single" w:sz="10" w:color="000000"/>
              <w:left w:val="single" w:sz="10" w:color="000000"/>
              <w:right w:val="single" w:sz="10" w:color="000000"/>
              <w:bottom w:val="single" w:sz="10" w:color="000000"/>
            </w:tcBorders>
          </w:tcPr>
          <w:p>
            <w:r>
              <w:rPr>
                <w:sz w:val="22"/>
                <w:szCs w:val="22"/>
              </w:rPr>
              <w:t xml:space="preserve">430</w:t>
            </w:r>
          </w:p>
        </w:tc>
        <w:tc>
          <w:tcPr>
            <w:tcW w:w="800" w:type="dxa"/>
            <w:tcBorders>
              <w:top w:val="single" w:sz="10" w:color="000000"/>
              <w:left w:val="single" w:sz="10" w:color="000000"/>
              <w:right w:val="single" w:sz="10" w:color="000000"/>
              <w:bottom w:val="single" w:sz="10" w:color="000000"/>
            </w:tcBorders>
          </w:tcPr>
          <w:p>
            <w:r>
              <w:rPr>
                <w:sz w:val="22"/>
                <w:szCs w:val="22"/>
              </w:rPr>
              <w:t xml:space="preserve">500</w:t>
            </w:r>
          </w:p>
        </w:tc>
        <w:tc>
          <w:tcPr>
            <w:tcW w:w="800" w:type="dxa"/>
            <w:tcBorders>
              <w:top w:val="single" w:sz="10" w:color="000000"/>
              <w:left w:val="single" w:sz="10" w:color="000000"/>
              <w:right w:val="single" w:sz="10" w:color="000000"/>
              <w:bottom w:val="single" w:sz="10" w:color="000000"/>
            </w:tcBorders>
          </w:tcPr>
          <w:p>
            <w:r>
              <w:rPr>
                <w:sz w:val="22"/>
                <w:szCs w:val="22"/>
              </w:rPr>
              <w:t xml:space="preserve">500</w:t>
            </w:r>
          </w:p>
        </w:tc>
        <w:tc>
          <w:tcPr>
            <w:tcW w:w="800" w:type="dxa"/>
            <w:tcBorders>
              <w:top w:val="single" w:sz="10" w:color="000000"/>
              <w:left w:val="single" w:sz="10" w:color="000000"/>
              <w:right w:val="single" w:sz="10" w:color="000000"/>
              <w:bottom w:val="single" w:sz="10" w:color="000000"/>
            </w:tcBorders>
          </w:tcPr>
          <w:p>
            <w:r>
              <w:rPr>
                <w:sz w:val="22"/>
                <w:szCs w:val="22"/>
              </w:rPr>
              <w:t xml:space="preserve">246</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Pozicionálás</w:t>
            </w:r>
          </w:p>
        </w:tc>
        <w:tc>
          <w:tcPr>
            <w:tcW w:w="800" w:type="dxa"/>
            <w:tcBorders>
              <w:top w:val="single" w:sz="10" w:color="000000"/>
              <w:left w:val="single" w:sz="10" w:color="000000"/>
              <w:right w:val="single" w:sz="10" w:color="000000"/>
              <w:bottom w:val="single" w:sz="10" w:color="000000"/>
            </w:tcBorders>
          </w:tcPr>
          <w:p>
            <w:r>
              <w:rPr>
                <w:sz w:val="22"/>
                <w:szCs w:val="22"/>
              </w:rPr>
              <w:t xml:space="preserve">Felső kategóriás villamosított hajtáslánc</w:t>
            </w:r>
          </w:p>
        </w:tc>
        <w:tc>
          <w:tcPr>
            <w:tcW w:w="800" w:type="dxa"/>
            <w:tcBorders>
              <w:top w:val="single" w:sz="10" w:color="000000"/>
              <w:left w:val="single" w:sz="10" w:color="000000"/>
              <w:right w:val="single" w:sz="10" w:color="000000"/>
              <w:bottom w:val="single" w:sz="10" w:color="000000"/>
            </w:tcBorders>
          </w:tcPr>
          <w:p>
            <w:r>
              <w:rPr>
                <w:sz w:val="22"/>
                <w:szCs w:val="22"/>
              </w:rPr>
              <w:t xml:space="preserve">Tömegpiaci benzinmotor</w:t>
            </w:r>
          </w:p>
        </w:tc>
        <w:tc>
          <w:tcPr>
            <w:tcW w:w="800" w:type="dxa"/>
            <w:tcBorders>
              <w:top w:val="single" w:sz="10" w:color="000000"/>
              <w:left w:val="single" w:sz="10" w:color="000000"/>
              <w:right w:val="single" w:sz="10" w:color="000000"/>
              <w:bottom w:val="single" w:sz="10" w:color="000000"/>
            </w:tcBorders>
          </w:tcPr>
          <w:p>
            <w:r>
              <w:rPr>
                <w:sz w:val="22"/>
                <w:szCs w:val="22"/>
              </w:rPr>
              <w:t xml:space="preserve">Felső kategóriás dízelmotor</w:t>
            </w:r>
          </w:p>
        </w:tc>
        <w:tc>
          <w:tcPr>
            <w:tcW w:w="800" w:type="dxa"/>
            <w:tcBorders>
              <w:top w:val="single" w:sz="10" w:color="000000"/>
              <w:left w:val="single" w:sz="10" w:color="000000"/>
              <w:right w:val="single" w:sz="10" w:color="000000"/>
              <w:bottom w:val="single" w:sz="10" w:color="000000"/>
            </w:tcBorders>
          </w:tcPr>
          <w:p>
            <w:r>
              <w:rPr>
                <w:sz w:val="22"/>
                <w:szCs w:val="22"/>
              </w:rPr>
              <w:t xml:space="preserve">Tömegpiaci dízelmotor</w:t>
            </w:r>
          </w:p>
        </w:tc>
        <w:tc>
          <w:tcPr>
            <w:tcW w:w="800" w:type="dxa"/>
            <w:tcBorders>
              <w:top w:val="single" w:sz="10" w:color="000000"/>
              <w:left w:val="single" w:sz="10" w:color="000000"/>
              <w:right w:val="single" w:sz="10" w:color="000000"/>
              <w:bottom w:val="single" w:sz="10" w:color="000000"/>
            </w:tcBorders>
          </w:tcPr>
          <w:p>
            <w:r>
              <w:rPr>
                <w:sz w:val="22"/>
                <w:szCs w:val="22"/>
              </w:rPr>
              <w:t xml:space="preserve">Megfizethető alapmotor</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Piacok </w:t>
            </w:r>
          </w:p>
        </w:tc>
        <w:tc>
          <w:tcPr>
            <w:tcW w:w="800" w:type="dxa"/>
            <w:tcBorders>
              <w:top w:val="single" w:sz="10" w:color="000000"/>
              <w:left w:val="single" w:sz="10" w:color="000000"/>
              <w:right w:val="single" w:sz="10" w:color="000000"/>
              <w:bottom w:val="single" w:sz="10" w:color="000000"/>
            </w:tcBorders>
          </w:tcPr>
          <w:p>
            <w:r>
              <w:rPr>
                <w:sz w:val="22"/>
                <w:szCs w:val="22"/>
              </w:rPr>
              <w:t xml:space="preserve">Észak-Amerika, Kína</w:t>
            </w:r>
          </w:p>
        </w:tc>
        <w:tc>
          <w:tcPr>
            <w:tcW w:w="800" w:type="dxa"/>
            <w:tcBorders>
              <w:top w:val="single" w:sz="10" w:color="000000"/>
              <w:left w:val="single" w:sz="10" w:color="000000"/>
              <w:right w:val="single" w:sz="10" w:color="000000"/>
              <w:bottom w:val="single" w:sz="10" w:color="000000"/>
            </w:tcBorders>
          </w:tcPr>
          <w:p>
            <w:r>
              <w:rPr>
                <w:sz w:val="22"/>
                <w:szCs w:val="22"/>
              </w:rPr>
              <w:t xml:space="preserve">Közel-Kelet, Kelet-Európa stb.</w:t>
            </w:r>
          </w:p>
        </w:tc>
        <w:tc>
          <w:tcPr>
            <w:tcW w:w="800" w:type="dxa"/>
            <w:tcBorders>
              <w:top w:val="single" w:sz="10" w:color="000000"/>
              <w:left w:val="single" w:sz="10" w:color="000000"/>
              <w:right w:val="single" w:sz="10" w:color="000000"/>
              <w:bottom w:val="single" w:sz="10" w:color="000000"/>
            </w:tcBorders>
          </w:tcPr>
          <w:p>
            <w:r>
              <w:rPr>
                <w:sz w:val="22"/>
                <w:szCs w:val="22"/>
              </w:rPr>
              <w:t xml:space="preserve">Ausztrália, Nyugat-Európa</w:t>
            </w:r>
          </w:p>
        </w:tc>
        <w:tc>
          <w:tcPr>
            <w:tcW w:w="800" w:type="dxa"/>
            <w:tcBorders>
              <w:top w:val="single" w:sz="10" w:color="000000"/>
              <w:left w:val="single" w:sz="10" w:color="000000"/>
              <w:right w:val="single" w:sz="10" w:color="000000"/>
              <w:bottom w:val="single" w:sz="10" w:color="000000"/>
            </w:tcBorders>
          </w:tcPr>
          <w:p>
            <w:r>
              <w:rPr>
                <w:sz w:val="22"/>
                <w:szCs w:val="22"/>
              </w:rPr>
              <w:t xml:space="preserve">Nyugat-Európa, Kelet-Európa, Japán, Közel-Kelet stb.</w:t>
            </w:r>
          </w:p>
        </w:tc>
        <w:tc>
          <w:tcPr>
            <w:tcW w:w="800" w:type="dxa"/>
            <w:tcBorders>
              <w:top w:val="single" w:sz="10" w:color="000000"/>
              <w:left w:val="single" w:sz="10" w:color="000000"/>
              <w:right w:val="single" w:sz="10" w:color="000000"/>
              <w:bottom w:val="single" w:sz="10" w:color="000000"/>
            </w:tcBorders>
          </w:tcPr>
          <w:p>
            <w:r>
              <w:rPr>
                <w:sz w:val="22"/>
                <w:szCs w:val="22"/>
              </w:rPr>
              <w:t xml:space="preserve">Kelet-Európa, Japán stb.</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Előnyök</w:t>
            </w:r>
          </w:p>
        </w:tc>
        <w:tc>
          <w:tcPr>
            <w:tcW w:w="800" w:type="dxa"/>
            <w:tcBorders>
              <w:top w:val="single" w:sz="10" w:color="000000"/>
              <w:left w:val="single" w:sz="10" w:color="000000"/>
              <w:right w:val="single" w:sz="10" w:color="000000"/>
              <w:bottom w:val="single" w:sz="10" w:color="000000"/>
            </w:tcBorders>
          </w:tcPr>
          <w:p>
            <w:r>
              <w:rPr>
                <w:sz w:val="22"/>
                <w:szCs w:val="22"/>
              </w:rPr>
              <w:t xml:space="preserve">Fokozott terepalkalmasság, jobb gyorsítóképesség, kedvező környezeti kompatibilitás a teljes üzemi tartományban</w:t>
            </w:r>
          </w:p>
        </w:tc>
        <w:tc>
          <w:tcPr>
            <w:tcW w:w="800" w:type="dxa"/>
            <w:tcBorders>
              <w:top w:val="single" w:sz="10" w:color="000000"/>
              <w:left w:val="single" w:sz="10" w:color="000000"/>
              <w:right w:val="single" w:sz="10" w:color="000000"/>
              <w:bottom w:val="single" w:sz="10" w:color="000000"/>
            </w:tcBorders>
          </w:tcPr>
          <w:p>
            <w:r>
              <w:rPr>
                <w:sz w:val="22"/>
                <w:szCs w:val="22"/>
              </w:rPr>
              <w:t xml:space="preserve">Finom járású, csendes, nagy teljesítményű, új generációs TNGA erőforrás, kedvező emissziós jellemzőkkel</w:t>
            </w:r>
          </w:p>
        </w:tc>
        <w:tc>
          <w:tcPr>
            <w:tcW w:w="800" w:type="dxa"/>
            <w:tcBorders>
              <w:top w:val="single" w:sz="10" w:color="000000"/>
              <w:left w:val="single" w:sz="10" w:color="000000"/>
              <w:right w:val="single" w:sz="10" w:color="000000"/>
              <w:bottom w:val="single" w:sz="10" w:color="000000"/>
            </w:tcBorders>
          </w:tcPr>
          <w:p>
            <w:r>
              <w:rPr>
                <w:sz w:val="22"/>
                <w:szCs w:val="22"/>
              </w:rPr>
              <w:t xml:space="preserve">A dízel alapmotornál is kedvezőbb üzemanyag-fogyasztás városi környezetben</w:t>
            </w:r>
          </w:p>
        </w:tc>
        <w:tc>
          <w:tcPr>
            <w:tcW w:w="800" w:type="dxa"/>
            <w:tcBorders>
              <w:top w:val="single" w:sz="10" w:color="000000"/>
              <w:left w:val="single" w:sz="10" w:color="000000"/>
              <w:right w:val="single" w:sz="10" w:color="000000"/>
              <w:bottom w:val="single" w:sz="10" w:color="000000"/>
            </w:tcBorders>
          </w:tcPr>
          <w:p>
            <w:r>
              <w:rPr>
                <w:sz w:val="22"/>
                <w:szCs w:val="22"/>
              </w:rPr>
              <w:t xml:space="preserve">Takarékos és erőteljes dízelmotor, kiemelkedő vezethetőség aszfalton és terepen</w:t>
            </w:r>
          </w:p>
        </w:tc>
        <w:tc>
          <w:tcPr>
            <w:tcW w:w="800" w:type="dxa"/>
            <w:tcBorders>
              <w:top w:val="single" w:sz="10" w:color="000000"/>
              <w:left w:val="single" w:sz="10" w:color="000000"/>
              <w:right w:val="single" w:sz="10" w:color="000000"/>
              <w:bottom w:val="single" w:sz="10" w:color="000000"/>
            </w:tcBorders>
          </w:tcPr>
          <w:p>
            <w:pPr>
              <w:spacing w:after="100"/>
            </w:pPr>
            <w:r>
              <w:rPr>
                <w:sz w:val="22"/>
                <w:szCs w:val="22"/>
              </w:rPr>
              <w:t xml:space="preserve">Kedvező általános vezethetőség</w:t>
            </w:r>
          </w:p>
          <w:p>
            <w:pPr>
              <w:spacing w:after="100"/>
            </w:pPr>
            <w:r>
              <w:rPr>
                <w:sz w:val="22"/>
                <w:szCs w:val="22"/>
              </w:rPr>
              <w:t xml:space="preserve"> </w:t>
            </w:r>
          </w:p>
          <w:p>
            <w:pPr>
              <w:spacing w:after="100"/>
            </w:pPr>
            <w:r>
              <w:rPr>
                <w:sz w:val="22"/>
                <w:szCs w:val="22"/>
              </w:rPr>
              <w:t xml:space="preserve"> </w:t>
            </w:r>
          </w:p>
        </w:tc>
      </w:tr>
    </w:tbl>
    <w:p/>
    <w:p>
      <w:pPr>
        <w:spacing w:after="100"/>
      </w:pPr>
      <w:r>
        <w:rPr>
          <w:sz w:val="22"/>
          <w:szCs w:val="22"/>
        </w:rPr>
        <w:t xml:space="preserve">A jelenleg, illetve a közeljövőben rendelkezésre álló opciók a világpiacok többségét lefedik, a jövőben azonban – különösen, ha figyelembe vesszük a Land Cruiserek jellemzően extrém hosszúságú modellciklusát – szükség lehet a választék bővítésére, igazodva a fizetőképes kereslet és a károsanyag-kibocsátási szabályozások változásaihoz.</w:t>
      </w:r>
    </w:p>
    <w:p>
      <w:pPr>
        <w:spacing w:after="100"/>
      </w:pPr>
      <w:r>
        <w:rPr>
          <w:sz w:val="22"/>
          <w:szCs w:val="22"/>
        </w:rPr>
        <w:t xml:space="preserve">Az Automotive News szakfolyóirat szerkesztőivel beszélgetve </w:t>
      </w:r>
      <w:r>
        <w:rPr>
          <w:sz w:val="22"/>
          <w:szCs w:val="22"/>
          <w:i/>
          <w:iCs/>
        </w:rPr>
        <w:t xml:space="preserve">Moricu Keita</w:t>
      </w:r>
      <w:r>
        <w:rPr>
          <w:sz w:val="22"/>
          <w:szCs w:val="22"/>
        </w:rPr>
        <w:t xml:space="preserve">, a Land Cruiser projekt főmérnöke elmondta, hogy a modell fejlesztése során eleve olyan döntéseket hoztak, amelyek nyitva hagyták a lehetőségét minden, jelenleg ismert hajtási módozat későbbi beépítésének. Ez hétköznapi nyelvre lefordítva nem kevesebbet jelent, mint hogy a Toyota középtávú terveiben az akkumulátoros elektromos, a hálózatról tölthető hibrid, valamint a hidrogén üzemanyagcellás Land Cruisereknek is van helye – legalábbis elméleti síkon.</w:t>
      </w:r>
    </w:p>
    <w:p>
      <w:pPr>
        <w:spacing w:after="100"/>
      </w:pPr>
      <w:r>
        <w:rPr>
          <w:sz w:val="22"/>
          <w:szCs w:val="22"/>
          <w:i/>
          <w:iCs/>
        </w:rPr>
        <w:t xml:space="preserve">„A TNGA platform tökéletesen alkalmas arra, hogy befogadjon bármilyen új generációs alternatív hajtási rendszert. Értelemszerűen szükség lehet bizonyos módosításokra, az egyes technológiák alkalmazása vagy elvetése azonban nem ezen múlik.” </w:t>
      </w:r>
      <w:r>
        <w:rPr>
          <w:sz w:val="22"/>
          <w:szCs w:val="22"/>
        </w:rPr>
        <w:t xml:space="preserve">– árulta el Moricu-szan.</w:t>
      </w:r>
      <w:r>
        <w:rPr>
          <w:sz w:val="22"/>
          <w:szCs w:val="22"/>
          <w:i/>
          <w:iCs/>
        </w:rPr>
        <w:t xml:space="preserve"> „Azt kell mérlegelnünk, hogy milyen előnyökkel és hátrányokkal jár azok beépítése.”</w:t>
      </w:r>
    </w:p>
    <w:p>
      <w:pPr>
        <w:spacing w:after="100"/>
      </w:pPr>
      <w:r>
        <w:rPr>
          <w:sz w:val="22"/>
          <w:szCs w:val="22"/>
        </w:rPr>
        <w:t xml:space="preserve">Az akkumulátoros elektromos hajtáslánc a használat helyszínén egyáltalán nem bocsát ki károsanyagokat, viszont nagy távolságok megtételére csak kompromisszumok árán alkalmas, ráadásul az akkumulátorok teljesítménye pont az olyan, szélsőségesen alacsony vagy magas környezeti hőmérsékleteket sínyli meg, amelyek a Land Cruiserek legfontosabb bevetési területein jellemzők.</w:t>
      </w:r>
    </w:p>
    <w:p>
      <w:pPr>
        <w:spacing w:after="100"/>
      </w:pPr>
      <w:r>
        <w:rPr>
          <w:sz w:val="22"/>
          <w:szCs w:val="22"/>
        </w:rPr>
        <w:t xml:space="preserve">A plug-in hibriddel áthidalható a hatótávolság problémája, ugyanakkor nem tekinthető teljes mértékben emissziómentes megoldásnak, ezért bizonyos piacokon hátrányból indulna. Ami a hidrogénüzemanyag-cellás megoldást illeti, annak technológiai felsőbbrendűsége – minden helyzetben zéró károsanyag-kibocsátás, nagy hatótávolság, gyors újratölthetőség – mellett praktikus akadályok – kisebb mértékben a hidrogéntartályok helyigénye, sokkal inkább a globális töltő infrastruktúra kiépítésének lassú üteme – gátolhatják az alkalmazását.</w:t>
      </w:r>
    </w:p>
    <w:p>
      <w:pPr>
        <w:spacing w:after="100"/>
      </w:pPr>
      <w:r>
        <w:rPr>
          <w:sz w:val="22"/>
          <w:szCs w:val="22"/>
        </w:rPr>
        <w:t xml:space="preserve">Tekintve, hogy a Land Cruiser 250 világpremierje óta még két hónap sem telt el, ezek a dilemmák még nem sürgetik a Toyota döntéshozóit. Ugyanakkor azáltal, hogy már a kezdetektől fogva mérlegelik a távlati lehetőségeket, az autógyártó nem tereli magát kényszerpályára, és a jövőben rugalmasan alkalmazkodhat a piac és a jogi környezet változásaihoz.</w:t>
      </w:r>
    </w:p>
    <w:p>
      <w:pPr>
        <w:spacing w:after="100"/>
      </w:pPr>
      <w:r>
        <w:rPr>
          <w:sz w:val="22"/>
          <w:szCs w:val="22"/>
        </w:rPr>
        <w:t xml:space="preserve"> </w:t>
      </w:r>
    </w:p>
    <w:p>
      <w:pPr>
        <w:spacing w:after="100"/>
      </w:pPr>
      <w:r>
        <w:rPr>
          <w:sz w:val="22"/>
          <w:szCs w:val="22"/>
        </w:rPr>
        <w:t xml:space="preserve">Fotók: </w:t>
      </w:r>
      <w:r>
        <w:rPr>
          <w:sz w:val="22"/>
          <w:szCs w:val="22"/>
          <w:i/>
          <w:iCs/>
        </w:rPr>
        <w:t xml:space="preserve">Automotive News, Toyota</w:t>
      </w:r>
    </w:p>
    <w:p>
      <w:pPr>
        <w:spacing w:after="100"/>
      </w:pPr>
      <w:r>
        <w:rPr>
          <w:sz w:val="22"/>
          <w:szCs w:val="22"/>
        </w:rPr>
        <w:t xml:space="preserve"> </w:t>
      </w:r>
    </w:p>
    <w:p>
      <w:pPr>
        <w:spacing w:after="100"/>
      </w:pPr>
      <w:r>
        <w:rPr>
          <w:sz w:val="22"/>
          <w:szCs w:val="22"/>
        </w:rPr>
        <w:t xml:space="preserve"> </w:t>
      </w:r>
    </w:p>
    <w:p>
      <w:pPr>
        <w:spacing w:after="100"/>
      </w:pPr>
      <w:r>
        <w:rPr>
          <w:sz w:val="22"/>
          <w:szCs w:val="22"/>
        </w:rPr>
        <w:t xml:space="preserve"> </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https://news.smartermedia.hu/nemzetkozi-hirek/az-uj-land-cruiser-lehet-toyota-legsokoldalubb-tipusa</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 w:type="table" w:customStyle="1" w:styleId="temp_table_style">
    <w:name w:val="temp_table_style"/>
    <w:uiPriority w:val="99"/>
    <w:tblPr>
      <w:tblBorders>
        <w:top w:val="single" w:sz="10" w:color="000000"/>
        <w:left w:val="single" w:sz="10" w:color="000000"/>
        <w:right w:val="single" w:sz="10" w:color="000000"/>
        <w:bottom w:val="single" w:sz="10" w:color="000000"/>
        <w:insideH w:val="single" w:sz="10" w:color="000000"/>
        <w:insideV w:val="single" w:sz="10" w:color="000000"/>
      </w:tblBorders>
    </w:tbl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2026-07-08T03:11:15+02:00</dcterms:created>
  <dcterms:modified xsi:type="dcterms:W3CDTF">2026-07-08T03:11:15+02:00</dcterms:modified>
  <dc:title/>
  <dc:description/>
  <dc:subject/>
  <cp:keywords/>
  <cp:category/>
</cp:coreProperties>
</file>