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létező anyagokat hozna létre a Toyota</w:t>
      </w:r>
    </w:p>
    <w:p>
      <w:r>
        <w:rPr>
          <w:sz w:val="22"/>
          <w:szCs w:val="22"/>
          <w:b/>
        </w:rPr>
        <w:t xml:space="preserve">Különleges pályázatot írt ki külső szakértők számára a Toyota kutatóintézete: jelentős támogatással segítené, hogy megoldást keressenek napjaink egyik legnagyobb technológiai kihívására.</w:t>
      </w:r>
    </w:p>
    <w:p/>
    <w:p>
      <w:pPr>
        <w:spacing w:after="100"/>
      </w:pPr>
      <w:r>
        <w:rPr>
          <w:sz w:val="22"/>
          <w:szCs w:val="22"/>
        </w:rPr>
        <w:t xml:space="preserve">Napjainkban kevés dolog foglalkoztatja annyira az emberiséget, mint a generatív mesterséges intelligencia. A gondolkodó és teremtő számítógépek alapjaiban alakíthatják át a társadalmak szerkezetét és működését; a kilátások legalább annyira ígéretesek, mint amennyire félelmetesek. Míg azonban az átlagemberek leginkább szövegíró, képalkotó, zeneszerző mesterséges intelligenciával találkoznak, a tudomány ennél jóval fantáziadúsabb területeken igyekszik felhasználni a technológiát.</w:t>
      </w:r>
    </w:p>
    <w:p>
      <w:pPr>
        <w:spacing w:after="100"/>
      </w:pPr>
      <w:r>
        <w:rPr>
          <w:sz w:val="22"/>
          <w:szCs w:val="22"/>
        </w:rPr>
        <w:t xml:space="preserve">Ilyen terület az innovatív anyagok kutatása és létrehozása. A speciálisan felkészített mesterséges intelligenciák ezerszámra képesek elméletben kombinálni és megtervezni újszerű, fantasztikus adottságokkal és jellemzőkkel rendelkező anyagokat. A tapasztalat azonban ugyanazt mutatja, mint a többi területen: az így létrehozott „receptek” egy része egész egyszerűen nem működik. Az atomok szintjén, elméletben megtervezett modelleknek elenyésző százalékát lehet a valóságban is előállítani – vagy azért, mert eleve hibás az elképzelés, vagy azért, mert túlságosan bonyolult, időt rabló és költséges volna vele a munka.</w:t>
      </w:r>
    </w:p>
    <w:p>
      <w:pPr>
        <w:spacing w:after="100"/>
      </w:pPr>
      <w:r>
        <w:rPr>
          <w:sz w:val="22"/>
          <w:szCs w:val="22"/>
        </w:rPr>
        <w:t xml:space="preserve">A Toyota Research Institute (TRI) saját példája tökéletesen szemlélteti a probléma súlyát. Miután a fejlett számítógépeik által javasolt, milliónyi elméleti kombinációból kiszűrték azt a 30 ezret, amelyet előzetesen előállíthatónak ítéltek meg, munkához láttak. Két év alatt a 30 ezer jelöltből tizenkettővel tudtak foglalkozni, és ebből mindössze egy (!) hozott tényleges, kézzel fogható eredményt. Ez eleve nem hangzik nagyon ígéretesen, ráadásul a folyamatnak még csak a kezdetén jár a tudomány. Napról napra nő a száma a lehetséges „új anyagoknak”, miközben a megvalósításukra rendelkezésre álló technológiai és humán erőforrások száma véges, Így statisztikailag egyre romlanak az esélyek, hogy a laboratóriumi munka eredménnyel jár.</w:t>
      </w:r>
    </w:p>
    <w:p>
      <w:pPr>
        <w:spacing w:after="100"/>
      </w:pPr>
      <w:r>
        <w:rPr>
          <w:sz w:val="22"/>
          <w:szCs w:val="22"/>
        </w:rPr>
        <w:t xml:space="preserve">Ezt felismerve a Toyota Research Institute különleges ösztöndíjat ajánlott fel a tudományos világ számára: olyan ötleteket várnak, amelyekkel hatékonyan és pontosan meg lehet előre határozni, hogy egy adott elméleti anyagstruktúra megvalósítható-e a gyakorlatban (méghozzá nem csak laboratóriumi szinten, hanem a sorozatgyártásig fejlesztve), vagy felesleges időt és pénzt áldozni a kísérletezésre.</w:t>
      </w:r>
    </w:p>
    <w:p>
      <w:pPr>
        <w:spacing w:after="100"/>
      </w:pPr>
      <w:r>
        <w:rPr>
          <w:sz w:val="22"/>
          <w:szCs w:val="22"/>
        </w:rPr>
        <w:t xml:space="preserve">A projektben négy kiválasztott csapat fog együtt dolgozni a TRI kutatóival abban a reményben, hogy saját szoftveres vagy hardveres, fizikai vagy adatalapú elképzeléseiket a Toyota tudósainak tapasztalataival ötvözve áttörést érhetnek el ezen a téren. A projekt első, két éven át tartó fázisára csoportonként és évenként negyedmillió, azaz összesen kétmillió dollárt (725 millió Ft) szán a TRI. Amennyiben az itt kidolgozott, elméleti megoldások ígéretesnek bizonyulnak, további legalább két évet fordíthatnak a pályázók arra, hogy a gyakorlatban is megvalósítsák elképzeléseiket, akár a sorozatgyártás kapujáig eljuttatva egy-egy innovatív anyagot.</w:t>
      </w:r>
    </w:p>
    <w:p>
      <w:pPr>
        <w:spacing w:after="100"/>
      </w:pPr>
      <w:r>
        <w:rPr>
          <w:sz w:val="22"/>
          <w:szCs w:val="22"/>
        </w:rPr>
        <w:t xml:space="preserve">Ennek a második fázisnak a költségvetését egyelőre nem határozta meg a Toyota Research Institute. Annak fényében azonban, hogy a TRi anyavállalata, a Toyota Motor Company világszerte óránként egymillió dollárt (!) fordít kutatási és fejlesztési programokra, biztosra vehető, hogy bármilyen projektet képes lesz finanszírozni a kutatóintézet, amennyiben az életképesnek ígérkezik.</w:t>
      </w:r>
    </w:p>
    <w:p>
      <w:pPr>
        <w:spacing w:after="100"/>
      </w:pPr>
      <w:r>
        <w:rPr>
          <w:sz w:val="22"/>
          <w:szCs w:val="22"/>
        </w:rPr>
        <w:t xml:space="preserve">A pályázatra idén június 1-ig várják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jelentkezéseket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https://news.smartermedia.hu/nemzetkozi-hirek/nem-letezo-anyagokat-hozna-letre-toyota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ri.global/synthesis-advanced-research-challenge-request-proposal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2026-06-08T23:02:57+02:00</dcterms:created>
  <dcterms:modified xsi:type="dcterms:W3CDTF">2026-06-08T23:02:57+02:00</dcterms:modified>
  <dc:title/>
  <dc:description/>
  <dc:subject/>
  <cp:keywords/>
  <cp:category/>
</cp:coreProperties>
</file>