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2025-ös szezonra továbbfejlesztett Toyota GR Supra versenyautó</w:t>
      </w:r>
    </w:p>
    <w:p>
      <w:r>
        <w:rPr>
          <w:sz w:val="22"/>
          <w:szCs w:val="22"/>
          <w:b/>
        </w:rPr>
        <w:t xml:space="preserve">A Toyota Gazoo Racing már fogadja a megrendeléseket az új GR Supra GT4 EVO2-re, amelynek fejlesztése során a világ minden táján működő versenycsapatok és pilóták visszajelzéseit is felhasználták.</w:t>
      </w:r>
    </w:p>
    <w:p/>
    <w:p>
      <w:pPr>
        <w:spacing w:after="100"/>
      </w:pPr>
      <w:r>
        <w:rPr>
          <w:sz w:val="22"/>
          <w:szCs w:val="22"/>
        </w:rPr>
        <w:t xml:space="preserve">2020-as bevezetése óta a GR Supra GT4 összesített eladásai meghaladták a 120 darabot. A gyorsasági versenyzésre kitalált ügyfél-versenyautó 11 országban és régióban nyert GT4-es futamokat és nemzetközi versenyeket, több mint 500 dobogós helyezést szerzett, és Ázsiában, az Egyesült Államokban, valamint Európában is kategóriabajnok lett.</w:t>
      </w:r>
    </w:p>
    <w:p>
      <w:pPr>
        <w:spacing w:after="100"/>
      </w:pPr>
      <w:r>
        <w:rPr>
          <w:sz w:val="22"/>
          <w:szCs w:val="22"/>
        </w:rPr>
        <w:t xml:space="preserve">Két éve, a 2023-as szezonra már kapott egy frissítést a GR Supra GT4, akkor javítottak a Brembótól származó fékein, a kezelhetőségén és a sorhatos turbómotorjának a nyomatékán is, amely elérte a 660 Nm-t. Ezektől a változásoktól valamivel gyorsabb lett a versenyautó, és – ami talán még fontosabb – könnyebben vezethetővé vált a kezdő szintű versenyzők számára. Azonban a sikeres frissítés után a Toyota Gazoo Racingnél nem tekintették befejezettnek a munkát, továbbra is a világ különböző versenypályáira utaztak a cég mérnökei, hogy közvetlenül kapjanak olyan értékes visszajelzéseket a GR Suprával kapcsolatban a csapatoktól és a pilótáktól, amelyeket csak a versenyzés szélsőséges körülményei között lehet megszerezni. A Toyota Gazoo Racing az ilyen tapasztalatokat felhasználva, a „driver-first car-making” (vezetőközpontú autófejlesztés) megközelítést alkalmazva alkotta meg a 2025-ös szezonra szánt GR Supra GT4 EVO2-t, amely elődjénél is jobb teljesítményt, megbízhatóságot és kezelhetőséget kínál.</w:t>
      </w:r>
    </w:p>
    <w:p>
      <w:pPr>
        <w:spacing w:after="100"/>
      </w:pPr>
      <w:r>
        <w:rPr>
          <w:sz w:val="22"/>
          <w:szCs w:val="22"/>
        </w:rPr>
        <w:t xml:space="preserve">Aprólékosan újrahangolták a blokkolásgátlót a japán és európai pályákon végzett tesztek során, hogy az optimális fékezést és kanyarodást tegyen lehetővé a gumiabroncsok típusához és kopásához, valamint a pálya állapotához igazodva. Emellett a visszaváltási időt is csökkentették a gázfröccsel történő fordulatszám-illesztés szoftverfrissítéses finomhangolásával, ami kontrolláltabb fékezés közbeni mozgásokat, nyugodtabb viselkedést, végső soron pedig a kanyarsebesség-növekedést eredményezett. A motor, a fékek és a hajtáslánc hűtésének javítása mellett a pilótafülke hőmérsékletét is optimalizálták, hogy a GR Supra GT4 EVO2-t még zord körülmények között is könnyű legyen vezetni a magas szintű koncentráció fenntartásával. Ezek a fejlesztések állítólag nemcsak a profi versenyzők, hanem a GT4-es pályaversenyeken világszerte szép számban induló amatőrök számára is könnyebbé teszik a GR Supra vezetését.</w:t>
      </w:r>
    </w:p>
    <w:p>
      <w:pPr>
        <w:spacing w:after="100"/>
      </w:pPr>
      <w:r>
        <w:rPr>
          <w:sz w:val="22"/>
          <w:szCs w:val="22"/>
        </w:rPr>
        <w:t xml:space="preserve">A 202 ezer euróba (79,36 millió forint) kerülő GR Supra GT4 EVO2 a tervek szerint 2025 januárjában debütál az IMSA Michelin Pilot Challenge első fordulójában, amelyet a Daytona 24 órás versenysorozattal együtt rendeznek majd meg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https://news.smartermedia.hu/nemzetkozi-hirek/bemutatkozott-a-2025-os-szezonra-tovabbfejlesztett-toyota-gr-supra-versenyauto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2026-10-31T14:18:04+01:00</dcterms:created>
  <dcterms:modified xsi:type="dcterms:W3CDTF">2026-10-31T14:18:04+01:00</dcterms:modified>
  <dc:title/>
  <dc:description/>
  <dc:subject/>
  <cp:keywords/>
  <cp:category/>
</cp:coreProperties>
</file>