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leghűségesebbek között a Toyota és a Lexus ügyfelei</w:t>
      </w:r>
    </w:p>
    <w:p>
      <w:r>
        <w:rPr>
          <w:sz w:val="22"/>
          <w:szCs w:val="22"/>
          <w:b/>
        </w:rPr>
        <w:t xml:space="preserve">A hagyományosan jó ügyfélhűségnek örvendő márkák bővíteni tudták ügyfélbázisukat, míg a többiek stagnáltak – így összegezte legutóbbi kutatásának eredményét a J. D. Power piacelemző szervezet. </w:t>
      </w:r>
    </w:p>
    <w:p/>
    <w:p>
      <w:pPr>
        <w:spacing w:after="100"/>
      </w:pPr>
      <w:r>
        <w:rPr>
          <w:sz w:val="22"/>
          <w:szCs w:val="22"/>
        </w:rPr>
        <w:t xml:space="preserve">Az idén hatodik alkalommal lebonyolított márkahűség-kutatás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Brand Loyalty Study</w:t>
        </w:r>
      </w:hyperlink>
      <w:r>
        <w:rPr>
          <w:sz w:val="22"/>
          <w:szCs w:val="22"/>
        </w:rPr>
        <w:t xml:space="preserve">) során a J. D. Power szakértői azt vizsgálják, hogy azok az ügyfelek, akik régi autójuk beszámíttatásával vásároltak újat, megmaradtak-e az eredeti márkánál, vagy újra váltottak, függetlenül a leadott autó életkorától. A félreértések elkerülése érdekében kizárólag márkakereskedésekben megrendelt, vadonatúj autók vásárlásait elemezték, méghozzá öt szegmensben: prémium-személyautók és -szabadidőjárművek, tömegpiaci személyautók és szabadidőjárművek, valamint pickupok.</w:t>
      </w:r>
    </w:p>
    <w:p>
      <w:pPr>
        <w:spacing w:after="100"/>
      </w:pPr>
      <w:r>
        <w:rPr>
          <w:sz w:val="22"/>
          <w:szCs w:val="22"/>
        </w:rPr>
        <w:t xml:space="preserve">Az elmúlt években, amikor a koronavírus-pandémia, majd a félvezetőhiány miatt jelentősen megnőttek a szállítási idők, az ügyfelek kétféleképpen reagáltak. Azoknál a márkáknál, ahol egyébként sem volt átlag feletti az ügyfelek hűsége, jelentősen visszaesett a visszatérő vevők aránya – az emberek azt vásároltak, ami épp kapható volt. A márkahűség tekintetében hagyományosan erős autógyártók sem adtak el több autót, ám más okokból: az ő ügyfeleik inkább elhalasztották a tervezett vásárlást, és kivártak, csak hogy bevált márkájuknál maradhassanak.</w:t>
      </w:r>
    </w:p>
    <w:p>
      <w:pPr>
        <w:spacing w:after="100"/>
      </w:pPr>
      <w:r>
        <w:rPr>
          <w:sz w:val="22"/>
          <w:szCs w:val="22"/>
        </w:rPr>
        <w:t xml:space="preserve">Mostanra a készletek és a szállítási idők a legtöbb autógyártónál normalizálódtak, az ügyfelek pedig kezdenek visszatérni kedvenc márkáikhoz. A legtöbb autógyártónál ez nem járt az eladások növekedésével, az olyan, hagyományosan erős márkáknál viszont, mint a Toyota vagy a Lexus, jelentősen megugrottak a beszámítások. A 2023 szeptembere és 2024 augusztusa közötti tranzakciók elemzéséből kiderült, hogy a Toyota a tömegpiaci személyautók, a Lexus pedig a prémium-szabadidőjárművek piacán élvez kiemelkedő ügyfélhűséget.</w:t>
      </w:r>
    </w:p>
    <w:p>
      <w:pPr>
        <w:spacing w:after="100"/>
      </w:pPr>
      <w:r>
        <w:rPr>
          <w:sz w:val="22"/>
          <w:szCs w:val="22"/>
        </w:rPr>
        <w:t xml:space="preserve">A Lexus X-sorozatú típusainak (azaz a crossoverek és a terepjárók) ügyfelei 60,2 százalékos biztonsággal maradtak meg kedvenc márkájuknál, azaz tíz korábbi Lexus UX, NX, RX, TX, GX vagy LX, illetve RZ-tulajdonosból hat újra ezen típusok közül választott – nem feltétlenül ugyanazt, mint korábban, de nem nyergelt át másik márkára. A Toyota ennél is jobban teljesített a személyautók körében: itt 62,5 százalék volt azoknak az aránya, akik Toyota szedánjuk, ferdehátújuk, kupéjuk vagy buszlimuzinjuk helyett ugyanebből a körből választottak maguknak ismét. A Toyota egy harmadik piaci szegmensben is kiválóan teljesített: 60,8 százalékos ügyfélhűséggel a második legstabilabb vevőkörű márkának bizonyult a pickupok piacán. </w:t>
      </w:r>
    </w:p>
    <w:p>
      <w:pPr>
        <w:spacing w:after="100"/>
      </w:pPr>
      <w:r>
        <w:rPr>
          <w:sz w:val="22"/>
          <w:szCs w:val="22"/>
        </w:rPr>
        <w:t xml:space="preserve">A Toyota és a Lexus egyaránt stabilan a legjobbak között teljesítenek a Brand Loyalty Study felmérésen.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2023-ban</w:t>
        </w:r>
      </w:hyperlink>
      <w:r>
        <w:rPr>
          <w:sz w:val="22"/>
          <w:szCs w:val="22"/>
        </w:rPr>
        <w:t xml:space="preserve"> a Toyota a személyautóknál elért első helyezése mellett a második legjobb eredményt mutathatta fel a SUV-ok és pickupok mezőnyében;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2022-ben</w:t>
        </w:r>
      </w:hyperlink>
      <w:r>
        <w:rPr>
          <w:sz w:val="22"/>
          <w:szCs w:val="22"/>
        </w:rPr>
        <w:t xml:space="preserve"> a Toyota két elsőséggel (személyautók, SUV-ok) és egy második helyezéssel (pickup), a Lexus egy második helyezéssel (SUV-ok) zárta a felmérést.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2021-ben</w:t>
        </w:r>
      </w:hyperlink>
      <w:r>
        <w:rPr>
          <w:sz w:val="22"/>
          <w:szCs w:val="22"/>
        </w:rPr>
        <w:t xml:space="preserve">, a Covid-lezárások csúcspontján a Lexus az első helyen végzett a prémiummárkák körében, a Toyota a másodikon a tömegpiaci márkánál; ebben és az ezt megelőző években még csak ezt a két nagy, felettes szegmenst vizsgálta a J. D. Power. Ugyanez volt a helyzet egyébként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egy évvel korábban</w:t>
        </w:r>
      </w:hyperlink>
      <w:r>
        <w:rPr>
          <w:sz w:val="22"/>
          <w:szCs w:val="22"/>
        </w:rPr>
        <w:t xml:space="preserve">, illetve 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2019-ben</w:t>
        </w:r>
      </w:hyperlink>
      <w:r>
        <w:rPr>
          <w:sz w:val="22"/>
          <w:szCs w:val="22"/>
        </w:rPr>
        <w:t xml:space="preserve">, a legelső márkahűség felmérés évében is.</w:t>
      </w:r>
    </w:p>
    <w:p>
      <w:pPr>
        <w:spacing w:after="100"/>
      </w:pPr>
      <w:r>
        <w:rPr>
          <w:sz w:val="22"/>
          <w:szCs w:val="22"/>
        </w:rPr>
        <w:t xml:space="preserve">A J. D. Power márkahűség-felmérésének korábbi eredményeiről 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ide kattintva</w:t>
        </w:r>
      </w:hyperlink>
      <w:r>
        <w:rPr>
          <w:sz w:val="22"/>
          <w:szCs w:val="22"/>
        </w:rPr>
        <w:t xml:space="preserve"> olvashat részletesen magyar nyelven.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Toyota, J. D. Power, CarPro, Motoring World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https://news.smartermedia.hu/nemzetkozi-hirek/a-leghusegesebbek-kozott-a-toyota-es-a-lexus-ugyfelei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jdpower.com/business/press-releases/2024-us-automotive-brand-loyalty-study" TargetMode="External"/>
  <Relationship Id="rId8" Type="http://schemas.openxmlformats.org/officeDocument/2006/relationships/hyperlink" Target="https://www.jdpower.com/business/press-releases/2023-us-automotive-brand-loyalty-study" TargetMode="External"/>
  <Relationship Id="rId9" Type="http://schemas.openxmlformats.org/officeDocument/2006/relationships/hyperlink" Target="https://www.jdpower.com/business/press-releases/2022-us-automotive-brand-loyalty-study" TargetMode="External"/>
  <Relationship Id="rId10" Type="http://schemas.openxmlformats.org/officeDocument/2006/relationships/hyperlink" Target="https://www.jdpower.com/business/press-releases/2021-us-automotive-brand-loyalty-study" TargetMode="External"/>
  <Relationship Id="rId11" Type="http://schemas.openxmlformats.org/officeDocument/2006/relationships/hyperlink" Target="https://www.jdpower.com/business/press-releases/2020-us-automotive-brand-loyalty-study" TargetMode="External"/>
  <Relationship Id="rId12" Type="http://schemas.openxmlformats.org/officeDocument/2006/relationships/hyperlink" Target="https://www.jdpower.com/business/press-releases/2019-us-automotive-brand-loyalty-study" TargetMode="External"/>
  <Relationship Id="rId13" Type="http://schemas.openxmlformats.org/officeDocument/2006/relationships/hyperlink" Target="https://news.smartermedia.hu/keresesi-eredmenyek-ido-szerint?search_api_fulltext=loyalty" TargetMode="External"/>
  <Relationship Id="rId14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2026-10-18T05:10:47+02:00</dcterms:created>
  <dcterms:modified xsi:type="dcterms:W3CDTF">2026-10-18T05:10:47+02:00</dcterms:modified>
  <dc:title/>
  <dc:description/>
  <dc:subject/>
  <cp:keywords/>
  <cp:category/>
</cp:coreProperties>
</file>