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Most olcsóbban, később sehogy? </w:t>
      </w:r>
    </w:p>
    <w:p>
      <w:r>
        <w:rPr>
          <w:sz w:val="22"/>
          <w:szCs w:val="22"/>
          <w:b/>
        </w:rPr>
        <w:t xml:space="preserve">Néhány héten belül lejár a türelmi időszak, és az Európai Unió országaiban minden eddiginél szigorúbb károsanyag-kibocsátási előírások lépnek hatályba. A változások várhatóan komoly hatással lesznek az autópiacra, ezek között azonban nem lesz mindegyik hátrányos.</w:t>
      </w:r>
    </w:p>
    <w:p/>
    <w:p>
      <w:pPr>
        <w:spacing w:after="100"/>
      </w:pPr>
      <w:r>
        <w:rPr>
          <w:sz w:val="22"/>
          <w:szCs w:val="22"/>
        </w:rPr>
        <w:t xml:space="preserve">93,6 g/km: ez az a flottaszintű átlagos széndioxid-kibocsátási érték, amelyet 2025-től minden, Európában forgalmazó autógyártónak teljesítenie kell ahhoz, hogy elkerülhesse a jelentős összegű bírságot – elemzők szerint az autóipar egészét akár 50 milliárd euróval sújthatják a hatóságok az emissziós határértékek túllépése miatt.</w:t>
      </w:r>
    </w:p>
    <w:p>
      <w:pPr>
        <w:spacing w:after="100"/>
      </w:pPr>
      <w:r>
        <w:rPr>
          <w:sz w:val="22"/>
          <w:szCs w:val="22"/>
        </w:rPr>
        <w:t xml:space="preserve">Az már korábban nyilvánvaló volt, hogy ezt a szigorú korlátozást a jelenlegi modellmix nem fogja tudni teljesíteni, nincs azonban univerzális recept a megoldásra: minden gyártó a maga belátása szerint igyekszik elérni vagy megközelíteni a határértéket. A Toyota-csoport tartja magát azon meggyőződéséhez, hogy az autóipari technológiák bevezetését nem irányelvekhez és trendekhez, hanem a piaci lehetőségekhez és igényekhez kell igazítani. Egyetlen hangzatos, abszolút megoldás helyett minél változatosabb lehetőségeket kell kínálni az emisszió csökkentésére, hogy az ügyfelek a lehető legnagyobb számban csatlakozhassanak ehhez a villamosítási folyamathoz – mindenki a számára legelfogadhatóbb szinten és tempóban. </w:t>
      </w:r>
    </w:p>
    <w:p>
      <w:pPr>
        <w:spacing w:after="100"/>
      </w:pPr>
      <w:r>
        <w:rPr>
          <w:sz w:val="22"/>
          <w:szCs w:val="22"/>
        </w:rPr>
        <w:t xml:space="preserve">Csak így biztosítható ugyanis a fenntartható fejlődés, az autógyártással és -használattal járó károsanyag-kibocsátás tartós csökkentése. Az élet igazolta ennek a szemléletnek a helyességét: Európa-szerte autógyártók kénytelenek csökkenteni gyártókapacitásukat, dolgozókat elbocsátani, vagy üzemeket bezárni, mert a teljes villamosítás célkitűzése nem találkozott tartós piaci kereslettel. Eközben a Toyota Multi-path hajtáslánc portfoliójának köszönhetően kiegyensúlyozottan és kiszámíthatóan tudja növelni eladásait, rendszeresen túlteljesítve nem csak saját magát, de a piac átlagos teljesítményét is.</w:t>
      </w:r>
    </w:p>
    <w:p>
      <w:pPr>
        <w:spacing w:after="100"/>
      </w:pPr>
      <w:r>
        <w:rPr>
          <w:sz w:val="22"/>
          <w:szCs w:val="22"/>
        </w:rPr>
        <w:t xml:space="preserve">Ezzel együtt a Toyota sem tudja kivonni magát teljes mértékben a 2025-től szigorodó előírások hatásai alól: azok ugyanis nem relatív, hanem abszolút határértéket szabnak meg. A cégcsoport közép- és felsőkategóriás típusai, bár a maguk kategóriájában kiemelkedően takarékosnak és tiszta üzeműnek számítanak, a fizika törvényeivel mégsem tudnak dacolni. A jövőben ezeknek a modelleknek kevesebb szerep jut a gyártó európai palettáján, a hangsúlyok áthelyeződése pedig ezeknek az autóknak az elérhetőségére is hatással lesz: az ügyfeleknek hosszabb szállítási időkkel, potenciálisan szerényebb választékkal, és szinte biztosan magasabb árakkal kell számolniuk.</w:t>
      </w:r>
    </w:p>
    <w:p>
      <w:pPr>
        <w:spacing w:after="100"/>
      </w:pPr>
      <w:r>
        <w:rPr>
          <w:sz w:val="22"/>
          <w:szCs w:val="22"/>
        </w:rPr>
        <w:t xml:space="preserve">Most még azonban 2024-et írunk, ezért a szigorításig hátra lévő időben kiemelten kedvező feltételekkel: jelentős árengedményekkel, ráadásul raktárról, gyors szállítási határidőkkel kínálja a legnépszerűbbek közé tartozó típusait a Toyota és a Lexus.</w:t>
      </w:r>
    </w:p>
    <w:p>
      <w:pPr>
        <w:spacing w:after="100"/>
      </w:pPr>
      <w:r>
        <w:rPr>
          <w:sz w:val="22"/>
          <w:szCs w:val="22"/>
        </w:rPr>
        <w:t xml:space="preserve">Szerepelnek közöttük meghatározó hibrid szabadidőjárművek: a </w:t>
      </w:r>
      <w:r>
        <w:rPr>
          <w:sz w:val="22"/>
          <w:szCs w:val="22"/>
          <w:b/>
        </w:rPr>
        <w:t xml:space="preserve">Toyota C-HR</w:t>
      </w:r>
      <w:r>
        <w:rPr>
          <w:sz w:val="22"/>
          <w:szCs w:val="22"/>
        </w:rPr>
        <w:t xml:space="preserve"> 2.0 literes, nagyteljesítményű változata, amely 196 lóerős csúcsteljesítményt társít 5,0 liter/100 km-t nem meghaladó szabványos átlagfogyasztással; a hétüléses </w:t>
      </w:r>
      <w:r>
        <w:rPr>
          <w:sz w:val="22"/>
          <w:szCs w:val="22"/>
          <w:b/>
        </w:rPr>
        <w:t xml:space="preserve">Toyota Highlander</w:t>
      </w:r>
      <w:r>
        <w:rPr>
          <w:sz w:val="22"/>
          <w:szCs w:val="22"/>
        </w:rPr>
        <w:t xml:space="preserve"> 2.5 Hybrid, amely 497 centiméteres karosszériájával, 248 lóerős rendszerteljesítményével és öt utassal akár 865 literes csomagtartójával (tetőig mért érték) ideális választás azoknak, akik sokan, sokat és messzire utaznak; vagy a prémium hibrid szabadidőjármű fogalmát két évtizede megteremtő, azóta is etalonnak tekintett </w:t>
      </w:r>
      <w:r>
        <w:rPr>
          <w:sz w:val="22"/>
          <w:szCs w:val="22"/>
          <w:b/>
        </w:rPr>
        <w:t xml:space="preserve">Lexus RX 350h</w:t>
      </w:r>
      <w:r>
        <w:rPr>
          <w:sz w:val="22"/>
          <w:szCs w:val="22"/>
        </w:rPr>
        <w:t xml:space="preserve">, amely a Highlanderrel osztozik kifinomult hajtásláncán.</w:t>
      </w:r>
    </w:p>
    <w:p>
      <w:pPr>
        <w:spacing w:after="100"/>
      </w:pPr>
      <w:r>
        <w:rPr>
          <w:sz w:val="22"/>
          <w:szCs w:val="22"/>
        </w:rPr>
        <w:t xml:space="preserve">A Toyota kínálatában a klasszikus értékeket képviselő, benzinmotoros </w:t>
      </w:r>
      <w:r>
        <w:rPr>
          <w:sz w:val="22"/>
          <w:szCs w:val="22"/>
          <w:b/>
        </w:rPr>
        <w:t xml:space="preserve">Toyota Corolla</w:t>
      </w:r>
      <w:r>
        <w:rPr>
          <w:sz w:val="22"/>
          <w:szCs w:val="22"/>
        </w:rPr>
        <w:t xml:space="preserve"> 1.5 eleve kedvező ár-érték arányát most akár 2,4 millió forintos árengedménnyel toldja meg a forgalmazó. Hasonlóan jelentős kedvezménnyel kapható egy másik belső égésű családi modell: a </w:t>
      </w:r>
      <w:r>
        <w:rPr>
          <w:sz w:val="22"/>
          <w:szCs w:val="22"/>
          <w:b/>
        </w:rPr>
        <w:t xml:space="preserve">Toyota Proace City Verso</w:t>
      </w:r>
      <w:r>
        <w:rPr>
          <w:sz w:val="22"/>
          <w:szCs w:val="22"/>
        </w:rPr>
        <w:t xml:space="preserve">, amely mostantól nem csak helykihasználásában, hanem a másfél millió forintos árengedmény jóvoltából költségeit tekintve is a piac egyik legütősebb ajánlata. A legizgalmasabb ajánlat pedig talán a </w:t>
      </w:r>
      <w:r>
        <w:rPr>
          <w:sz w:val="22"/>
          <w:szCs w:val="22"/>
          <w:b/>
        </w:rPr>
        <w:t xml:space="preserve">Toyota Hilux</w:t>
      </w:r>
      <w:r>
        <w:rPr>
          <w:sz w:val="22"/>
          <w:szCs w:val="22"/>
        </w:rPr>
        <w:t xml:space="preserve">, a világtörténelem legnépszerűbb „kompakt” pickup modellje, amelyhez most 1,9 millió forintos kedvezménnyel juthatnak hozzá az ügyfelek.</w:t>
      </w:r>
    </w:p>
    <w:p>
      <w:pPr>
        <w:spacing w:after="100"/>
      </w:pPr>
      <w:r>
        <w:rPr>
          <w:sz w:val="22"/>
          <w:szCs w:val="22"/>
        </w:rPr>
        <w:t xml:space="preserve">Ez a sokszínű portfólió is jól szemlélteti a Toyota termékfilozófiáját: legnépszerűbb típusait kínálja most kedvezményesen, tudva, hogy az ezek iránti, stabilan jelentős keresletet jövőre már nehezebben fogja tudni kielégíteni. Ezzel együtt egzotikumok is szerepelnek az akciós listán: ilyen a </w:t>
      </w:r>
      <w:r>
        <w:rPr>
          <w:sz w:val="22"/>
          <w:szCs w:val="22"/>
          <w:b/>
        </w:rPr>
        <w:t xml:space="preserve">Lexus RX 500h</w:t>
      </w:r>
      <w:r>
        <w:rPr>
          <w:sz w:val="22"/>
          <w:szCs w:val="22"/>
        </w:rPr>
        <w:t xml:space="preserve">, a prémium szabadidőjármű nagyteljesítményű, sportos változata, vagy ott a </w:t>
      </w:r>
      <w:r>
        <w:rPr>
          <w:sz w:val="22"/>
          <w:szCs w:val="22"/>
          <w:b/>
        </w:rPr>
        <w:t xml:space="preserve">Lexus LM 350h</w:t>
      </w:r>
      <w:r>
        <w:rPr>
          <w:sz w:val="22"/>
          <w:szCs w:val="22"/>
        </w:rPr>
        <w:t xml:space="preserve">, egy kivételesen tágas, fényűző buszlimuzin, amely a Lexus LS luxuslimuzin kényeztető komfortját társítja az egyterű modellekre jellemző, végtelen belső mozgástérrel.</w:t>
      </w:r>
    </w:p>
    <w:p>
      <w:pPr>
        <w:spacing w:after="100"/>
      </w:pPr>
      <w:r>
        <w:rPr>
          <w:sz w:val="22"/>
          <w:szCs w:val="22"/>
        </w:rPr>
        <w:t xml:space="preserve">Az akció időtartamáról, valamint pontos részleteiről a Toyota és a Lexus magyarországi márkakereskedései adnak pontos felvilágosítást.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https://news.smartermedia.hu/hazai-hirek/most-olcsobban-kesobb-sehogy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2026-10-26T13:25:48+01:00</dcterms:created>
  <dcterms:modified xsi:type="dcterms:W3CDTF">2026-10-26T13:25:48+01:00</dcterms:modified>
  <dc:title/>
  <dc:description/>
  <dc:subject/>
  <cp:keywords/>
  <cp:category/>
</cp:coreProperties>
</file>