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Stílusos alternatívák seprű helyett</w:t>
      </w:r>
    </w:p>
    <w:p>
      <w:r>
        <w:rPr>
          <w:sz w:val="22"/>
          <w:szCs w:val="22"/>
          <w:b/>
        </w:rPr>
        <w:t xml:space="preserve">A hétvégén a világ számos országában megérkezett a mozikba az év legboszorkányosabb zenés filmje, a Wicked. A hivatalos premieren két különleges kivitelű Lexus TX is részt vett, mint a főszereplők nem hivatalos járművei.</w:t>
      </w:r>
    </w:p>
    <w:p/>
    <w:p>
      <w:pPr>
        <w:spacing w:after="100"/>
      </w:pPr>
      <w:r>
        <w:rPr>
          <w:sz w:val="22"/>
          <w:szCs w:val="22"/>
        </w:rPr>
        <w:t xml:space="preserve">Többszörös </w:t>
      </w:r>
      <w:hyperlink r:id="rId7" w:history="1">
        <w:r>
          <w:rPr>
            <w:color w:val="0000FF"/>
            <w:sz w:val="22"/>
            <w:szCs w:val="22"/>
            <w:u w:val="single"/>
          </w:rPr>
          <w:t xml:space="preserve">világcsúccsal indított</w:t>
        </w:r>
      </w:hyperlink>
      <w:r>
        <w:rPr>
          <w:sz w:val="22"/>
          <w:szCs w:val="22"/>
        </w:rPr>
        <w:t xml:space="preserve"> november 22-én a </w:t>
      </w:r>
      <w:r>
        <w:rPr>
          <w:sz w:val="22"/>
          <w:szCs w:val="22"/>
          <w:i/>
          <w:iCs/>
        </w:rPr>
        <w:t xml:space="preserve">Wicked</w:t>
      </w:r>
      <w:r>
        <w:rPr>
          <w:sz w:val="22"/>
          <w:szCs w:val="22"/>
        </w:rPr>
        <w:t xml:space="preserve">, a Universal Pictures egyik utolsó 2024-es premierje. A globális statisztikákat nézve egyetlen Broadway-adaptáció sem hozott még ekkora: összesen 165 millió dolláros bevételt a bemutató hétvégéjén – a rangsort eddig a 2012-es </w:t>
      </w:r>
      <w:r>
        <w:rPr>
          <w:sz w:val="22"/>
          <w:szCs w:val="22"/>
          <w:i/>
          <w:iCs/>
        </w:rPr>
        <w:t xml:space="preserve">A nyomorultak</w:t>
      </w:r>
      <w:r>
        <w:rPr>
          <w:sz w:val="22"/>
          <w:szCs w:val="22"/>
        </w:rPr>
        <w:t xml:space="preserve"> vezette 103 millió dollárral. A musicalek történetében ez volt az ötödik legnagyobb siker a 2019-es </w:t>
      </w:r>
      <w:r>
        <w:rPr>
          <w:sz w:val="22"/>
          <w:szCs w:val="22"/>
          <w:i/>
          <w:iCs/>
        </w:rPr>
        <w:t xml:space="preserve">Az oroszlánkirály</w:t>
      </w:r>
      <w:r>
        <w:rPr>
          <w:sz w:val="22"/>
          <w:szCs w:val="22"/>
        </w:rPr>
        <w:t xml:space="preserve"> (446 millió dollár), a 2017-es </w:t>
      </w:r>
      <w:r>
        <w:rPr>
          <w:sz w:val="22"/>
          <w:szCs w:val="22"/>
          <w:i/>
          <w:iCs/>
        </w:rPr>
        <w:t xml:space="preserve">A szépség és a szörnyeteg</w:t>
      </w:r>
      <w:r>
        <w:rPr>
          <w:sz w:val="22"/>
          <w:szCs w:val="22"/>
        </w:rPr>
        <w:t xml:space="preserve"> (358 millió dollár), a 2019-es </w:t>
      </w:r>
      <w:r>
        <w:rPr>
          <w:sz w:val="22"/>
          <w:szCs w:val="22"/>
          <w:i/>
          <w:iCs/>
        </w:rPr>
        <w:t xml:space="preserve">Jégvarázs 2</w:t>
      </w:r>
      <w:r>
        <w:rPr>
          <w:sz w:val="22"/>
          <w:szCs w:val="22"/>
        </w:rPr>
        <w:t xml:space="preserve"> (358 millió dollár) és a 2019-es </w:t>
      </w:r>
      <w:r>
        <w:rPr>
          <w:sz w:val="22"/>
          <w:szCs w:val="22"/>
          <w:i/>
          <w:iCs/>
        </w:rPr>
        <w:t xml:space="preserve">Aladdin</w:t>
      </w:r>
      <w:r>
        <w:rPr>
          <w:sz w:val="22"/>
          <w:szCs w:val="22"/>
        </w:rPr>
        <w:t xml:space="preserve"> (213 millió dollár) mögött.</w:t>
      </w:r>
    </w:p>
    <w:p>
      <w:pPr>
        <w:spacing w:after="100"/>
      </w:pPr>
      <w:r>
        <w:rPr>
          <w:sz w:val="22"/>
          <w:szCs w:val="22"/>
        </w:rPr>
        <w:t xml:space="preserve">A siker titka részben pont az eredeti Broadway-produkcióban rejlik, amelyet húsz év alatt több mint 15 millióan láttak, és 1,25 milliárd dolláros összbevételével minden idők második legsikeresebb előadása (megint csak Az oroszlánkirály mögött), részben az átgondolt, sokszínű, egymást organikusan kiegészítő szereplőgárdában, amelyben a nézők minden generációja megtalálja a maga kedvencét. </w:t>
      </w:r>
    </w:p>
    <w:p>
      <w:pPr>
        <w:spacing w:after="100"/>
      </w:pPr>
      <w:r>
        <w:rPr>
          <w:sz w:val="22"/>
          <w:szCs w:val="22"/>
        </w:rPr>
        <w:t xml:space="preserve">Ehhez a már bizonyítottan sikeres és potenciálisan hatalmas távlatok elé néző produkcióhoz csatlakozott autóipari partnerként a Lexus, és annak is legsokoldalúbb, vásárlók széles rétegeit megszólító típusa, a TX. A három üléssoros szabadidőjármű először a film előzetesében kapott képernyőidőt, a hollywoodi premier alkalmából pedig varázslatos öltözékben vonult végig a vörös szőnyegen – nem is egyszer, hanem kettőször, hiszen a Lexus dizájnerei mindkét főszereplő: </w:t>
      </w:r>
      <w:r>
        <w:rPr>
          <w:sz w:val="22"/>
          <w:szCs w:val="22"/>
          <w:i/>
          <w:iCs/>
        </w:rPr>
        <w:t xml:space="preserve">Elfaba</w:t>
      </w:r>
      <w:r>
        <w:rPr>
          <w:sz w:val="22"/>
          <w:szCs w:val="22"/>
        </w:rPr>
        <w:t xml:space="preserve"> és </w:t>
      </w:r>
      <w:r>
        <w:rPr>
          <w:sz w:val="22"/>
          <w:szCs w:val="22"/>
          <w:i/>
          <w:iCs/>
        </w:rPr>
        <w:t xml:space="preserve">Glinda</w:t>
      </w:r>
      <w:r>
        <w:rPr>
          <w:sz w:val="22"/>
          <w:szCs w:val="22"/>
        </w:rPr>
        <w:t xml:space="preserve"> személyiségéhez és megjelenéséhez illő kivitelben újragondolták a nagy SUV-ot.</w:t>
      </w:r>
    </w:p>
    <w:p>
      <w:pPr>
        <w:spacing w:after="100"/>
      </w:pPr>
      <w:r>
        <w:rPr>
          <w:sz w:val="22"/>
          <w:szCs w:val="22"/>
        </w:rPr>
        <w:t xml:space="preserve">Glinda autója szikrázóan rózsaszín, ragyogó arany díszítésekkel és pink talajmegvilágítással. Elfaba crossovere ezzel szemben titokzatos, erőt sugárzó smaragdzöldben pompázik, azonos színű talajfényekkel. Ami mindkét autót összeköti, azok egyrészt az arany keréktárcsák, másrészt az egyedi rendszámok, amelyek Glinda és Elfaba esetében is a szereplőkhöz fűződő, legismertebb betétdalokra utalnak.</w:t>
      </w:r>
    </w:p>
    <w:p>
      <w:pPr>
        <w:spacing w:after="100"/>
      </w:pPr>
      <w:r>
        <w:rPr>
          <w:sz w:val="22"/>
          <w:szCs w:val="22"/>
        </w:rPr>
        <w:t xml:space="preserve">A zene élményéhez egyébként is szervesen kapcsolódik a Lexus TX, hiszen a 14 colos multimédiás érintőképernyőről vezérelhető audiorendszer már alapkiépítésben 12 hangszórós, felárért pedig 1800 wattos, 21 hangszórós Mark Levinson prémium surround hifi is rendelhető. És ha repülni nem is tud, mindhárom választható hajtásláncopciója dinamikus – és az átlagos boszorkányseprűnél jóval komfortosabb – vezetési élményt ígér. Az első- és összkerékhajtással egyaránt rendelhető Lexus TX 350 négyhengeres 2,4 literes benzinmotorja 279 LE csúcsteljesítményre képes; a Lexus TX 500h ugyanezt a benzinmotort tengelyenként egy-egy villanymotorral toldja meg, rendszerteljesítménye 371 lóerő; a plug-in hibrid Lexus TX 550h+ a cégcsoport bevált 3.5 V6-os szívómotorjából és két villanymotorból összesen 409 lóerő rendszerteljesítményt állít elő.</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https://news.smartermedia.hu/nemzetkozi-hirek/stilusos-alternativak-sepru-helyett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variety.com/2024/film/box-office/wicked-box-office-opening-weekend-records-12362221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2026-09-01T08:07:11+02:00</dcterms:created>
  <dcterms:modified xsi:type="dcterms:W3CDTF">2026-09-01T08:07:11+02:00</dcterms:modified>
  <dc:title/>
  <dc:description/>
  <dc:subject/>
  <cp:keywords/>
  <cp:category/>
</cp:coreProperties>
</file>