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Hárommillió dollárral járul hozzá Velence jövőjéhez a Toyota</w:t>
      </w:r>
    </w:p>
    <w:p>
      <w:r>
        <w:rPr>
          <w:sz w:val="22"/>
          <w:szCs w:val="22"/>
          <w:b/>
        </w:rPr>
        <w:t xml:space="preserve">Egy globális projekt fő résztvevőjeként a Toyota olyan, kivételesen ígéretes elképzelések megvalósítását teszi lehetővé, amelyek hosszú távon biztosíthatják a vizek városának fenntartható közlekedését.</w:t>
      </w:r>
    </w:p>
    <w:p/>
    <w:p>
      <w:pPr>
        <w:spacing w:after="100"/>
      </w:pPr>
      <w:r>
        <w:rPr>
          <w:sz w:val="22"/>
          <w:szCs w:val="22"/>
        </w:rPr>
        <w:t xml:space="preserve">Nincsenek megoldhatatlan kihívások – ez a mottója annak a tíz évvel ezelőtt alapított </w:t>
      </w:r>
      <w:r>
        <w:rPr>
          <w:sz w:val="22"/>
          <w:szCs w:val="22"/>
          <w:i/>
          <w:iCs/>
        </w:rPr>
        <w:t xml:space="preserve">Challenge Works</w:t>
      </w:r>
      <w:r>
        <w:rPr>
          <w:sz w:val="22"/>
          <w:szCs w:val="22"/>
        </w:rPr>
        <w:t xml:space="preserve"> szervezetnek, amely az embert egyéni és közösségi szinten közvetlenül érintő, természeti és társadalmi problémák elhárítását tűzte zászlajára. Ehhez az évtizedes, nemes küzdelemhez csatlakozott most a </w:t>
      </w:r>
      <w:r>
        <w:rPr>
          <w:sz w:val="22"/>
          <w:szCs w:val="22"/>
          <w:i/>
          <w:iCs/>
        </w:rPr>
        <w:t xml:space="preserve">Toyota Mobility Foundation</w:t>
      </w:r>
      <w:r>
        <w:rPr>
          <w:sz w:val="22"/>
          <w:szCs w:val="22"/>
        </w:rPr>
        <w:t xml:space="preserve">, amely 2014 nyara óta törekszik egy olyan társadalom megvalósítására, amely </w:t>
      </w:r>
      <w:r>
        <w:rPr>
          <w:sz w:val="22"/>
          <w:szCs w:val="22"/>
          <w:b/>
        </w:rPr>
        <w:t xml:space="preserve">minden tagja számára egyenlő esélyeket biztosít, egyforma lehetőségeket teremt a mobilitásra</w:t>
      </w:r>
      <w:r>
        <w:rPr>
          <w:sz w:val="22"/>
          <w:szCs w:val="22"/>
        </w:rPr>
        <w:t xml:space="preserve">. </w:t>
      </w:r>
    </w:p>
    <w:p>
      <w:pPr>
        <w:spacing w:after="100"/>
      </w:pPr>
      <w:r>
        <w:rPr>
          <w:sz w:val="22"/>
          <w:szCs w:val="22"/>
        </w:rPr>
        <w:t xml:space="preserve">A két szervezet első közös kihívása, a </w:t>
      </w:r>
      <w:r>
        <w:rPr>
          <w:sz w:val="22"/>
          <w:szCs w:val="22"/>
          <w:i/>
          <w:iCs/>
        </w:rPr>
        <w:t xml:space="preserve">Sustainable Cities Challenge</w:t>
      </w:r>
      <w:r>
        <w:rPr>
          <w:sz w:val="22"/>
          <w:szCs w:val="22"/>
        </w:rPr>
        <w:t xml:space="preserve"> nem meglepő módon a fenntartható mobilitás fejlesztését, az egészségesebb és biztonságosabb városi környezet megteremtését, valamint ehhez kapcsolódóan a munkavégzés, az oktatás és a szociális szolgáltatások elérhetővé tételét célozta meg. A 2023 novemberében meghirdetett programba több mint 150 város jelentkezett; közülük végül három – az észak-amerikai Detroit, az ázsiai Varanasi, valamint az európai Velence – részesülhet egyenlő arányban abból a 9 millió dollárból (3,6 milliárd Ft), amelyet a Toyota Mobility Foundation különített el a program megvalósítására. </w:t>
      </w:r>
    </w:p>
    <w:p>
      <w:pPr>
        <w:spacing w:after="100"/>
      </w:pPr>
      <w:r>
        <w:rPr>
          <w:sz w:val="22"/>
          <w:szCs w:val="22"/>
        </w:rPr>
        <w:t xml:space="preserve">Míg </w:t>
      </w:r>
      <w:r>
        <w:rPr>
          <w:sz w:val="22"/>
          <w:szCs w:val="22"/>
          <w:b/>
        </w:rPr>
        <w:t xml:space="preserve">Detroit</w:t>
      </w:r>
      <w:r>
        <w:rPr>
          <w:sz w:val="22"/>
          <w:szCs w:val="22"/>
        </w:rPr>
        <w:t xml:space="preserve">, az autóipar egykori bölcsője az Egyesült Államok egyik legfontosabb élelmiszertermelő és -elosztó központjaként támaszt speciális kihívásokat a mobilitási infrastruktúra fejlesztése elé, az indiai </w:t>
      </w:r>
      <w:r>
        <w:rPr>
          <w:sz w:val="22"/>
          <w:szCs w:val="22"/>
          <w:b/>
        </w:rPr>
        <w:t xml:space="preserve">Varanasi</w:t>
      </w:r>
      <w:r>
        <w:rPr>
          <w:sz w:val="22"/>
          <w:szCs w:val="22"/>
        </w:rPr>
        <w:t xml:space="preserve"> spirituális központ és jelentős zarándokhely, amelyet évente 85 millió látogató keres fel. Az olaszországi </w:t>
      </w:r>
      <w:r>
        <w:rPr>
          <w:sz w:val="22"/>
          <w:szCs w:val="22"/>
          <w:b/>
        </w:rPr>
        <w:t xml:space="preserve">Velence</w:t>
      </w:r>
      <w:r>
        <w:rPr>
          <w:sz w:val="22"/>
          <w:szCs w:val="22"/>
        </w:rPr>
        <w:t xml:space="preserve"> speciális helyzetben van, hiszen a történelmi belvárosban kizárólag gyalogszerrel vagy vízi járművekkel lehet közlekedni. Ugyanakkor a helyi lakosok többsége nem a csatornaparti, középkori házakban, hanem a szárazföldön található külvárosokban él, ahol hagyományos közúti járművek biztosítják az egyéni és közösségi közlekedést. </w:t>
      </w:r>
    </w:p>
    <w:p>
      <w:pPr>
        <w:spacing w:after="100"/>
      </w:pPr>
      <w:r>
        <w:rPr>
          <w:sz w:val="22"/>
          <w:szCs w:val="22"/>
        </w:rPr>
        <w:t xml:space="preserve">Ez a </w:t>
      </w:r>
      <w:r>
        <w:rPr>
          <w:sz w:val="22"/>
          <w:szCs w:val="22"/>
          <w:b/>
        </w:rPr>
        <w:t xml:space="preserve">multimodális mobilitás</w:t>
      </w:r>
      <w:r>
        <w:rPr>
          <w:sz w:val="22"/>
          <w:szCs w:val="22"/>
        </w:rPr>
        <w:t xml:space="preserve"> teljes mértékben összecseng a Toyota filozófiájával, amely mindenki számára biztosítani kívánja a közlekedés teljes szabadságát. Velence vezetése az elmúlt években jelentős erőforrásokat fordított a fenntartható, csekély szénlábnyomú közlekedési megoldások és szolgáltatások fejlesztésére, a kerékpárút- és kerékpármegosztó-hálózatok bővítésétől kezdve a hidrogénalapú és akkumulátoros elektromos közösségi közlekedési járművek üzembe állításán át az intelligens forgalomirányítási rendszer bevezetéséig. A projekt keretében ezért elsősorban a társadalmi szemléletváltást elősegítő, innovatív ötletekre számít a város: olyan kezdeményezésekre, amelyek elősegítik ezeknek a </w:t>
      </w:r>
      <w:r>
        <w:rPr>
          <w:sz w:val="22"/>
          <w:szCs w:val="22"/>
          <w:b/>
        </w:rPr>
        <w:t xml:space="preserve">már meglévő mobilitási rendszereknek a jobb kihasználását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kihívás második fázisában több tucat megoldási javaslat érkezett ezekre a feladatokra. Ezek közül tíz koncepció került be az elődöntőbe, lehetőséget nyerve arra, hogy a következő egy év során a gyakorlatban teszteljék elképzeléseiket. Erre pályázónként 50 ezer dollárt (20 millió Ft) biztosít a Toyota Mobility Foundation. </w:t>
      </w:r>
    </w:p>
    <w:p>
      <w:pPr>
        <w:spacing w:after="100"/>
      </w:pPr>
      <w:r>
        <w:rPr>
          <w:sz w:val="22"/>
          <w:szCs w:val="22"/>
        </w:rPr>
        <w:t xml:space="preserve">A javasolt megoldások legalább olyan változatosak és sokszínűek, mint Velence közlekedési rendszere. A nyertes pályázók között szerepelnek a </w:t>
      </w:r>
      <w:r>
        <w:rPr>
          <w:sz w:val="22"/>
          <w:szCs w:val="22"/>
          <w:b/>
        </w:rPr>
        <w:t xml:space="preserve">viselkedésváltást</w:t>
      </w:r>
      <w:r>
        <w:rPr>
          <w:sz w:val="22"/>
          <w:szCs w:val="22"/>
        </w:rPr>
        <w:t xml:space="preserve"> elősegítő technológiai vállalkozások, fenntartható és intelligens </w:t>
      </w:r>
      <w:r>
        <w:rPr>
          <w:sz w:val="22"/>
          <w:szCs w:val="22"/>
          <w:b/>
        </w:rPr>
        <w:t xml:space="preserve">kerékpárparkoló-rendszerek</w:t>
      </w:r>
      <w:r>
        <w:rPr>
          <w:sz w:val="22"/>
          <w:szCs w:val="22"/>
        </w:rPr>
        <w:t xml:space="preserve"> és stratégiai </w:t>
      </w:r>
      <w:r>
        <w:rPr>
          <w:sz w:val="22"/>
          <w:szCs w:val="22"/>
          <w:b/>
        </w:rPr>
        <w:t xml:space="preserve">költségvetés-tervezési</w:t>
      </w:r>
      <w:r>
        <w:rPr>
          <w:sz w:val="22"/>
          <w:szCs w:val="22"/>
        </w:rPr>
        <w:t xml:space="preserve"> eszközök. Bekerültek az elődöntőbe a mobilitási szolgáltatások </w:t>
      </w:r>
      <w:r>
        <w:rPr>
          <w:sz w:val="22"/>
          <w:szCs w:val="22"/>
          <w:b/>
        </w:rPr>
        <w:t xml:space="preserve">gamifikációjára</w:t>
      </w:r>
      <w:r>
        <w:rPr>
          <w:sz w:val="22"/>
          <w:szCs w:val="22"/>
        </w:rPr>
        <w:t xml:space="preserve"> szakosodott start-upok, digitális </w:t>
      </w:r>
      <w:r>
        <w:rPr>
          <w:sz w:val="22"/>
          <w:szCs w:val="22"/>
          <w:b/>
        </w:rPr>
        <w:t xml:space="preserve">forgalomszervező</w:t>
      </w:r>
      <w:r>
        <w:rPr>
          <w:sz w:val="22"/>
          <w:szCs w:val="22"/>
        </w:rPr>
        <w:t xml:space="preserve"> rendszerek, valamint a témát </w:t>
      </w:r>
      <w:r>
        <w:rPr>
          <w:sz w:val="22"/>
          <w:szCs w:val="22"/>
          <w:b/>
        </w:rPr>
        <w:t xml:space="preserve">empatikusan</w:t>
      </w:r>
      <w:r>
        <w:rPr>
          <w:sz w:val="22"/>
          <w:szCs w:val="22"/>
        </w:rPr>
        <w:t xml:space="preserve"> megközelítő deep tech kezdeményezések. Ezeken kívül a kerékpárosokat csoportos </w:t>
      </w:r>
      <w:r>
        <w:rPr>
          <w:sz w:val="22"/>
          <w:szCs w:val="22"/>
          <w:b/>
        </w:rPr>
        <w:t xml:space="preserve">közlekedési közösségekbe</w:t>
      </w:r>
      <w:r>
        <w:rPr>
          <w:sz w:val="22"/>
          <w:szCs w:val="22"/>
        </w:rPr>
        <w:t xml:space="preserve"> szervező platformok, a viselkedéstudományban gyökerező </w:t>
      </w:r>
      <w:r>
        <w:rPr>
          <w:sz w:val="22"/>
          <w:szCs w:val="22"/>
          <w:b/>
        </w:rPr>
        <w:t xml:space="preserve">motivációs eszközök</w:t>
      </w:r>
      <w:r>
        <w:rPr>
          <w:sz w:val="22"/>
          <w:szCs w:val="22"/>
        </w:rPr>
        <w:t xml:space="preserve"> és persze a rendelkezésre álló adatokat </w:t>
      </w:r>
      <w:r>
        <w:rPr>
          <w:sz w:val="22"/>
          <w:szCs w:val="22"/>
          <w:b/>
        </w:rPr>
        <w:t xml:space="preserve">mesterséges intelligencia</w:t>
      </w:r>
      <w:r>
        <w:rPr>
          <w:sz w:val="22"/>
          <w:szCs w:val="22"/>
        </w:rPr>
        <w:t xml:space="preserve"> segítségével feldolgozó megoldások is bekerültek abba a körbe, amelyek között 2026-ban hirdet győztest a City Challenge zsűrije, lehetővé téve, hogy megoldásukat felhasználói szinten bevezessék, kibontakoztassák és tovább fejlesszék.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https://news.smartermedia.hu/nemzetkozi-hirek/harommillio-dollarral-jarul-hozza-velence-jovojehez-a-toyota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2026-09-24T07:47:04+02:00</dcterms:created>
  <dcterms:modified xsi:type="dcterms:W3CDTF">2026-09-24T07:47:04+02:00</dcterms:modified>
  <dc:title/>
  <dc:description/>
  <dc:subject/>
  <cp:keywords/>
  <cp:category/>
</cp:coreProperties>
</file>