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stabilan nyereséges a Toyota Motor Company</w:t>
      </w:r>
    </w:p>
    <w:p>
      <w:r>
        <w:rPr>
          <w:sz w:val="22"/>
          <w:szCs w:val="22"/>
          <w:b/>
        </w:rPr>
        <w:t xml:space="preserve">Bár a világgazdaságot és a globális kereskedelmet számos aggasztó jelenség hátráltatja, a Toyota és leányvállalatainak működése stabil és kiszámítható maradt. A világ legnagyobb autógyártójának éves jelentését boncolgatva több érdekes adatra is bukkantunk.</w:t>
      </w:r>
    </w:p>
    <w:p/>
    <w:p>
      <w:pPr>
        <w:spacing w:after="100"/>
      </w:pPr>
      <w:r>
        <w:rPr>
          <w:sz w:val="22"/>
          <w:szCs w:val="22"/>
        </w:rPr>
        <w:t xml:space="preserve">A Toyota üzleti éve nem azonos a naptári évvel, a legutóbbi 2024. április 1-én kezdődött és 2025. március 31-én ért véget. Az üzleti év eredményeit tehát már befolyásolták az új amerikai kormányzat váratlan és átgondolatlan lépései, ám az eladások volumenére ez még kizárólag az USA-ban volt hatással. A Toyota és a Lexus gyakorlatilag megismételte az előző üzleti év eredményeit, hiszen az </w:t>
      </w:r>
      <w:r>
        <w:rPr>
          <w:sz w:val="22"/>
          <w:szCs w:val="22"/>
          <w:b/>
        </w:rPr>
        <w:t xml:space="preserve">előző évhez viszonyítva 99,7%-os eredményt el </w:t>
      </w:r>
      <w:r>
        <w:rPr>
          <w:sz w:val="22"/>
          <w:szCs w:val="22"/>
        </w:rPr>
        <w:t xml:space="preserve">– összesen csupán 35 ezer autóval értékesített kevesebbet, mint az előző üzleti évben. </w:t>
      </w:r>
    </w:p>
    <w:p>
      <w:pPr>
        <w:spacing w:after="100"/>
      </w:pPr>
      <w:r>
        <w:rPr>
          <w:sz w:val="22"/>
          <w:szCs w:val="22"/>
        </w:rPr>
        <w:t xml:space="preserve">A vállalat fő piacain nagyon közel járt a tavalyi sikerekhez: Japánban mindössze kétezer autóval adott el kevesebbet, Európában 20.000 példánnyal fogyott kevesebb. Észak-Amerikában 4% volt a csökkenés mértéke, ez 113 ezer autót jelent. A többi piacon a Toyota/Lexus még javítani is tudott a volatilis piaci körülmények ellenére, hiszen Ázsiában közel két százalék volt a növekedés mértéke (34 ezer autó), míg a többi térségben – Közép- és Dél-Amerika, Óceánia, Afrika és a Közel-Kelet – 1,3 százalékkal, azaz 21 ezer kocsival fogyott több.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TMC teljes működési bevétele 4,8 billió jent</w:t>
      </w:r>
      <w:r>
        <w:rPr>
          <w:sz w:val="22"/>
          <w:szCs w:val="22"/>
        </w:rPr>
        <w:t xml:space="preserve"> (29,15 milliárd eurót, azaz a magyar GDP nyolcadát) tett ki, ami 10%-os csökkenés ugyan, ám a részvényekre kifizetett osztalék az előző évhez képest 15 jennel, azaz 20%-kal lett magasabb. A Toyota tehát úgy volt képes növekedni, hogy nem adott el több autót. A sikert más értékteremtő tevékenységekben kell keresnünk: jelentősen, mintegy 7 százalékkal nőtt az értékesítési bevétel, azaz a Toyota és Lexus többet keresett az eladott autókon. Szintén fejlődtek az értéklánc további elemei, az alkatrész- és tartozékértékesítés, valamint a használtautókból származó bevétel.</w:t>
      </w:r>
    </w:p>
    <w:p>
      <w:pPr>
        <w:spacing w:after="100"/>
      </w:pPr>
      <w:r>
        <w:rPr>
          <w:sz w:val="22"/>
          <w:szCs w:val="22"/>
        </w:rPr>
        <w:t xml:space="preserve">Az eladott modellek hajtás szerinti megoszlása arról tanúskodik, hogy a Toyota jól döntött, amikor nem tett fel mindent a tisztán elektromos hajtásra, hanem a multienergia-stratégiát követte. Miközben az eladások volumene gyakorlatilag stagnált, a </w:t>
      </w:r>
      <w:r>
        <w:rPr>
          <w:sz w:val="22"/>
          <w:szCs w:val="22"/>
          <w:b/>
        </w:rPr>
        <w:t xml:space="preserve">villamosított autók értékesítése 23,2 százalékkal nőtt</w:t>
      </w:r>
      <w:r>
        <w:rPr>
          <w:sz w:val="22"/>
          <w:szCs w:val="22"/>
        </w:rPr>
        <w:t xml:space="preserve">, s az összes eladott Toyota és Lexus majdnem fele (46,2%) már elektrifikált hajtáslánccal talál gazdára. Az öntöltő hajtás (HEV) sikere elvitathatatlan: több 4,4 millió (+23,6%) ilyen újautó került forgalomba az előző üzleti évben, s bár jóval szerényebb bázisról, de nőtt a plug-in hibridek (+14,3%) és a tisztán elektromos (BEV) modellek értékesítése is (+23,9%).</w:t>
      </w:r>
    </w:p>
    <w:p>
      <w:r>
        <w:pict>
          <v:shape type="#_x0000_t75" style="width:800px;height:41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közeli jövőt illeti, a TMC jövőre szerény, 1,2 %-os növekedéssel számol, és összesen 10,4 millió Toyota és Lexus eladásával terveznek. A villamosított hajtások ennél nagyobb mértékben fognak nőni (+9,2%), ám a prímet már nem az öntöltő hibridek (HEV, +5%), hanem az elektromos (BEV, +113,8%) és a hálózatról is tölthető hibridek (PHEV, 29,8%) viszik majd. </w:t>
      </w:r>
    </w:p>
    <w:p>
      <w:r>
        <w:pict>
          <v:shape type="#_x0000_t75" style="width:677px;height:42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Mivel a Toyota Motor Company Japánban van bejegyezve, az éves beszámoló pénzneme a jen, és az árfolyamváltozás mindig fontos szerepet játszik a TMC eredményeiben. Az előző üzleti évben a japán deviza kissé gyengélkedett, ezért az átváltások során a cégnek 535 milliárd jen profitja keletkezett. A következő évre a TMC a jen erősödését jósolja, így a 2026-os üzleti évre 530 milliárd jenes visszaesést várnak.</w:t>
      </w:r>
    </w:p>
    <w:p>
      <w:pPr>
        <w:spacing w:after="100"/>
      </w:pPr>
      <w:r>
        <w:rPr>
          <w:sz w:val="22"/>
          <w:szCs w:val="22"/>
        </w:rPr>
        <w:t xml:space="preserve">Középtávon pedig a TMC folytatja átalakulását mobilitási vállalattá, s céljuk, hogy a sajáttőke arányos jövedelmezőség (ROE) a jelenlegi 14%-os szintről 20%-ra nőjön. A növekedés egyik fő eszköze a KINTO lesz, amely a Toyota/Lexus új és innovatív konstrukciókat kínáló mobilitási szolgáltatója.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Global.toyota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https://news.smartermedia.hu/nemzetkozi-hirek/tovabbra-is-stabilan-nyereseges-a-toyota-motor-company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2026-09-21T21:19:48+02:00</dcterms:created>
  <dcterms:modified xsi:type="dcterms:W3CDTF">2026-09-21T21:19:48+02:00</dcterms:modified>
  <dc:title/>
  <dc:description/>
  <dc:subject/>
  <cp:keywords/>
  <cp:category/>
</cp:coreProperties>
</file>