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Teljes körűen megújult az egyik legfontosabb Toyota</w:t>
      </w:r>
    </w:p>
    <w:p>
      <w:r>
        <w:rPr>
          <w:sz w:val="22"/>
          <w:szCs w:val="22"/>
          <w:b/>
        </w:rPr>
        <w:t xml:space="preserve">Formatervében evolúciós fejlődésen ment át, a digitális és hajtástechnológiák terén generációváltáson esett át a Toyota globális slágermodellje, a RAV4 kompakt szabadidőjármű, amely három fő piacán egyidejűleg, de a helyi viszonyokhoz igazodó tartalommal mutatkozik be.</w:t>
      </w:r>
    </w:p>
    <w:p/>
    <w:p>
      <w:pPr>
        <w:spacing w:after="100"/>
      </w:pPr>
      <w:r>
        <w:rPr>
          <w:sz w:val="22"/>
          <w:szCs w:val="22"/>
        </w:rPr>
        <w:t xml:space="preserve">Harmincegy év alatt Európában több mint 2,5 millió, világszerte több mint tizenöt millió példányt adtak el a Toyota RAV4 öt generációjából. Ez kiemelkedő teljesítmény volna akkor is, ha végig egyenletesen teljesített volna a műfajteremtő modell, az eladások azonban exponenciálisan nőttek az évek során. Míg az első ötmillió darabos mérföldkövet 18 év alatt érte el a típus, a másodikhoz mindössze nyolc, a harmadikhoz pedig már csak öt évre volt szüksége. Ez egyértelműen jelzi, hogy a 2018 óta forgalmazott, jelenlegi széria messze a legnépszerűbb kiadása a RAV4-sorozatnak, amiben a plug-in elektromos hibrid modellváltozat 2020-as bevezetése is kulcsszerepet játszott.</w:t>
      </w:r>
    </w:p>
    <w:p>
      <w:pPr>
        <w:spacing w:after="100"/>
      </w:pPr>
      <w:r>
        <w:rPr>
          <w:sz w:val="22"/>
          <w:szCs w:val="22"/>
        </w:rPr>
        <w:t xml:space="preserve">Ez a slágermodell határozza meg tehát azt a mércét, amelyet a most bemutatott, és piactól függően legkésőbb az aktuális pénzügyi év végéig – azaz 2026 áprilisáig – forgalomba kerülő új generációs modellnek meg kell haladnia. Ennek érdekében differenciált fejlesztési irányt vett a Toyota: míg a formaterv alapvetően a jelenlegi modell értékeihez igazodik, a mechanikus, elektromos és elektronikus technológiákat mind új generációs rendszerekre cserélték.</w:t>
      </w:r>
    </w:p>
    <w:p>
      <w:pPr>
        <w:spacing w:after="100"/>
      </w:pPr>
      <w:r>
        <w:rPr>
          <w:sz w:val="22"/>
          <w:szCs w:val="22"/>
          <w:b/>
        </w:rPr>
        <w:t xml:space="preserve">Külső és belső kialakítás </w:t>
      </w:r>
    </w:p>
    <w:p>
      <w:pPr>
        <w:spacing w:after="100"/>
      </w:pPr>
      <w:r>
        <w:rPr>
          <w:sz w:val="22"/>
          <w:szCs w:val="22"/>
        </w:rPr>
        <w:t xml:space="preserve">A fentiekkel összhangban a Toyota nem veszteget sok szót az új RAV4 külső dizájnjára. A méreteket és az arányokat a lehető legcsekélyebb mértékben módosították, lényeges eltérést a megújult logónál, illetve a márka újabban bemutatott típusaihoz igazodó orrkialakításnál tapasztalhatunk. Ez az utóbbi fontos szerephez jut a piactól függően elérhető modellváltozatok megkülönböztetésében. A pörölycápa-fénykarakterhez az alapverzió térhatású rácsozatú, integrált hűtőmaszkot társít, az offroad-orientált (Japánban Adventure, Észak-Amerikában Woodland néven futó) variáns magasra húzott orra a márka fokozott terepalkalmasságú, alvázas típusait idézi, míg a GR Sport a megszokott stílusjegyeket vonultatja fel, a módosított méhsejtrácsozatú hűtőmaszktól a hangsúlyos aerodinamikai részletekig. További megkülönböztető jegyként az alapváltozat integrált tetősínje és diszkrét tetőspoilere közül a terepváltozat az előbbit, a GR Sport az utóbbit cseréli hangsúlyosabb változatra. </w:t>
      </w:r>
    </w:p>
    <w:p>
      <w:r>
        <w:pict>
          <v:shape type="#_x0000_t75" style="width:800px;height:692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Az utastérben letisztult, logikus elrendezéssel találkozunk, amely kifejezetten az ergonómiára helyezi a hangsúlyt. A műszerfal felső felülete minteg 40 mm-rel lejjebb húzódik, mint a jelenlegi generációnál; ez tágasabb hatást ér el, és jobb kitekintést tesz lehetővé. A tárolóhelyek elrendezése és kialakítása példa értékű: a középső könyöklő fedele például megfordítható; az egyik oldalán kényelmesen párnázott, míg a másikon csúszásgátló felületű tálca található. A nagyméretű érintőképernyő alatt külön nyomógombok és kapcsolók szolgálnak a klímaberendezés, illetve a hangerő vezérlésére, a középkonzolon dupla bölcső szolgál két okostelefon vezeték nélküli töltésére, és ez alatt is kialakítottak egy tágas polcot. A sebességváltó kezelőszerve elektronikus (shift-by-wire), ám a tervezők ellenálltak a kísértésnek, hogy a kormányoszlopra vagy a műszerfalra telepítsék a kart, így a vezetőnek eggyel kevesebb dologhoz kell alkalmazkodnia. A csomagtartó térfogata minimális mértékben nőtt (733 helyett 749 liter), ugyanakkor módosult a hátsó ülések geometriája, így azok ledöntésekor még egyenletesebb kialakítású padlót kapunk.</w:t>
      </w:r>
    </w:p>
    <w:p>
      <w:r>
        <w:pict>
          <v:shape type="#_x0000_t75" style="width:800px;height:450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</w:rPr>
        <w:t xml:space="preserve">Hajtásláncok</w:t>
      </w:r>
    </w:p>
    <w:p>
      <w:pPr>
        <w:spacing w:after="100"/>
      </w:pPr>
      <w:r>
        <w:rPr>
          <w:sz w:val="22"/>
          <w:szCs w:val="22"/>
        </w:rPr>
        <w:t xml:space="preserve">Az új generációs RAV4 legfontosabb globális újdonsága, hogy immár egyetlen piacon sem lesz elérhető tisztán benzinmotoros kivitelben: az ügyfelek egy full hibrid és egy plug-in elektromos hibrid hajtáslánc közül választhatnak.</w:t>
      </w:r>
    </w:p>
    <w:p>
      <w:pPr>
        <w:spacing w:after="100"/>
      </w:pPr>
      <w:r>
        <w:rPr>
          <w:sz w:val="22"/>
          <w:szCs w:val="22"/>
        </w:rPr>
        <w:t xml:space="preserve">Az öntöltő hibrid rendszer a jelenlegi, ötödik generációnál bevezetett kiépítés továbbfejlesztése. Az egyes részelemek evolúciója jóvoltából nőtt a villanymotor teljesítménye, ami jobb gázreakciót és kis mértékben megnövelt rendszerteljesítményt eredményez. Európában az elsőkerék-hajtású RAV4 183, az elektromos összkerékhajtással szerelt változat pedig maximálisan 191 lóerőt ad le. Észak-Amerikában 226, illeve 236 lóerőre képesek ugyanezek a hajtásláncok, fontos azonban megjegyezni, hogy ezek a homologizációt megelőző, gyártó által meghatározott célértékek.</w:t>
      </w:r>
    </w:p>
    <w:p>
      <w:pPr>
        <w:spacing w:after="100"/>
      </w:pPr>
      <w:r>
        <w:rPr>
          <w:sz w:val="22"/>
          <w:szCs w:val="22"/>
        </w:rPr>
        <w:t xml:space="preserve">Nagyobb hangsúlyt fektetett a plug-in elektromos hibrid hajtáslánc tökéletesítésére a Toyota. A vadonatúj akkumulátor fejlesztésénél a gyártó tisztán elektromos modellprogramjából szerzett tapasztalatokat használták fel, ami nem csak nagyobb kapacitást (18,1 helyett 22,7 kWh) jelent, hanem megnövelt töltési teljesítményt is jelent. A fedélzeti egyenáramú töltő akár 50 kW-ra is képes, így a korábbi 150 helyett mindössze 30 perc alatt elvégezhető a 10-80%-os sztenderd töltési ciklus. Ebben szerepet játszik a vadonatúj akkumulátor-hűtő rendszer is. A váltóáramú töltés legnagyobb teljesítménye 6,6 helyett 11 kW, így otthoni fali töltőboxról az eddigi 7,5 helyett akár három óra alatt feltölthető az akkumulátor. Egyes piacokon a rendszer kétirányú töltésre (V2H, járműből az otthonba) is képes, azaz a RAV4 alkalmas a háztartási gépek működtetésére. </w:t>
      </w:r>
    </w:p>
    <w:p>
      <w:pPr>
        <w:spacing w:after="100"/>
      </w:pPr>
      <w:r>
        <w:rPr>
          <w:sz w:val="22"/>
          <w:szCs w:val="22"/>
        </w:rPr>
        <w:t xml:space="preserve">A WLTP vegyes ciklus szerinti hatótávolság gyártói célértéke Európában 100 kilométer. Ez a fentiek ismeretében konzervatív becslésnek ígérkezik – a japán piacra szánt autóknál említett 150 kilométer annál hihetőbb. A vezérlés képes a navigációs adatok, valamint a vezető vezetési stílusa és szokásos útvonalválasztása alapján szelektíven megválasztani a hajtási módot, így olyan szakaszokra tartalékolni az akkumulátorban a töltést, ahol előnyösebb a tisztán elektromos üzemű közlekedés.</w:t>
      </w:r>
    </w:p>
    <w:p>
      <w:pPr>
        <w:spacing w:after="100"/>
      </w:pPr>
      <w:r>
        <w:rPr>
          <w:sz w:val="22"/>
          <w:szCs w:val="22"/>
        </w:rPr>
        <w:t xml:space="preserve">Az akkucsomag mellett a villanymotorokat is továbbfejlesztették. Az első motor a korábbi 134 helyett 150 kW csúcsteljesítményre képes. A rendszerteljesítmény ugyanakkor Európában maradt 304 lóerő (az USA-ban 324 lóerőre nőtt), de a teljesítménykifejtés karaktere módosult, így 6,0 helyett 5,8 másodperc alatt gyorsul álló helyzetéből 100 km/h sebességre a jármű. Vadonatúj opcióként a plug-in hibrid hajtáslánc immár elsőkerékhajtással is elérhető; ebben az esetben a csúcsteljesítmény 268 lóerő.</w:t>
      </w:r>
    </w:p>
    <w:p>
      <w:pPr>
        <w:spacing w:after="100"/>
      </w:pPr>
      <w:r>
        <w:rPr>
          <w:sz w:val="22"/>
          <w:szCs w:val="22"/>
          <w:b/>
        </w:rPr>
        <w:t xml:space="preserve">GR Sport </w:t>
      </w:r>
    </w:p>
    <w:p>
      <w:pPr>
        <w:spacing w:after="100"/>
      </w:pPr>
      <w:r>
        <w:rPr>
          <w:sz w:val="22"/>
          <w:szCs w:val="22"/>
        </w:rPr>
        <w:t xml:space="preserve">Az akkumulátor és segédberendezéseinek módosított kialakítása és elrendezése – az egyenáramú átalakítót a teljesítményszabályozóba integrálták, az egész egység mérete csökkent, és azt beépítették a hajtóegységbe – jóvoltából mélyebbre került a modell tömegközéppontja, és nőtt a karosszéria szerkezeti szilárdsága. </w:t>
      </w:r>
    </w:p>
    <w:p>
      <w:pPr>
        <w:spacing w:after="100"/>
      </w:pPr>
      <w:r>
        <w:rPr>
          <w:sz w:val="22"/>
          <w:szCs w:val="22"/>
        </w:rPr>
        <w:t xml:space="preserve">Ez eleve kedvezőbb menetdinamikai jellemzőkkel vértezi fel az autót, a GR Sport változat pedig a felfüggesztés célzott módosításaival emeli még magasabb szintre a vezetési élményt. A nyomtáv 20 mm-rel szélesebb, a lengéscsillapítók feszesebbek, a hátsó futóművet merevítéssel látták el, valamint újrahangolták nem csak a futómű, de a szervokormány beállításait is. </w:t>
      </w:r>
    </w:p>
    <w:p>
      <w:pPr>
        <w:spacing w:after="100"/>
      </w:pPr>
      <w:r>
        <w:rPr>
          <w:sz w:val="22"/>
          <w:szCs w:val="22"/>
        </w:rPr>
        <w:t xml:space="preserve">A GR Sport a már említett módosítások mellett exkluzív 20 colos, fekete keréktárcsákat, az utastérben térdtámaszokat, alumíniumpedálokat és sportos kialakítású első üléseket is kínál ügyfeleinek. A beltér számos pontján, így a kormánykeréken GR logóval és piros kontrasztos díszítésekkel találkozhatunk.</w:t>
      </w:r>
    </w:p>
    <w:p>
      <w:pPr>
        <w:spacing w:after="100"/>
      </w:pPr>
      <w:r>
        <w:rPr>
          <w:sz w:val="22"/>
          <w:szCs w:val="22"/>
          <w:b/>
        </w:rPr>
        <w:t xml:space="preserve">Digitális tartalmak</w:t>
      </w:r>
    </w:p>
    <w:p>
      <w:pPr>
        <w:spacing w:after="100"/>
      </w:pPr>
      <w:r>
        <w:rPr>
          <w:sz w:val="22"/>
          <w:szCs w:val="22"/>
        </w:rPr>
        <w:t xml:space="preserve">2025-ben semmi meglepő nincs abban, hogy az új generációs Toyota RAV4 legfontosabb fejlesztése nem mechanikus, hanem elektronikus: ez a most debütáló Arene platform a vezetőtámogató és infotainment funkciók terén egyaránt korszakváltást hozott el. </w:t>
      </w:r>
    </w:p>
    <w:p>
      <w:pPr>
        <w:spacing w:after="100"/>
      </w:pPr>
      <w:r>
        <w:rPr>
          <w:sz w:val="22"/>
          <w:szCs w:val="22"/>
        </w:rPr>
        <w:t xml:space="preserve">Az új generációs Toyota Safety Sense biztonsági csomag olyan új szolgáltatásokat vezet be, mint az elülső keresztirányú forgalomra figyelmeztetés, amely több lépcsőben figyelmeztet, ha olyan kereszteződésen szeretnénk áthajtani, ahol keresztben járművek közlekednek. A holttérfelügyelet autópályán nagyobb távolságból érzékeli a közeledő járműveket, így hamarabb figyelmeztethet a veszélyre. Újdonság a továbbfejlesztett sávváltó asszisztens, amely a feltételek teljesülése esetén önállóan átsorol a szomszédos sávba; tökéletesítették a frontális ütközést megelőző autonóm vészfékező rendszert; újdonságként bevezették a balesetet követően aktiválódó fékrendszert, amely megelőzi az esetleges másodlagos ütközést.</w:t>
      </w:r>
    </w:p>
    <w:p>
      <w:pPr>
        <w:spacing w:after="100"/>
      </w:pPr>
      <w:r>
        <w:rPr>
          <w:sz w:val="22"/>
          <w:szCs w:val="22"/>
        </w:rPr>
        <w:t xml:space="preserve">A manőverezést háromdimenziós kamerakép, illetve távvezérelhető automatikus parkolásfunkció teszi kényelmesebbé és biztonságosabbá, és természetesen minden funkció a távolból, vezeték nélküli kapcsolaton keresztül frissíthető.</w:t>
      </w:r>
    </w:p>
    <w:p>
      <w:pPr>
        <w:spacing w:after="100"/>
      </w:pPr>
      <w:r>
        <w:rPr>
          <w:sz w:val="22"/>
          <w:szCs w:val="22"/>
        </w:rPr>
        <w:t xml:space="preserve">Az Arene platformra épülő multimédiás és információs rendszer minden eddiginél gyorsabb és letisztultabb. A megjelenítés részletgazdag, akárcsak a navigációs tájékoztatások. Utóbbi a 12,3 colos digitális műszeregységben is megjeleníthető, méghozzá háromdimenziós sávinformációs támogatással. Szintén új a 12,9 colos érintőképernyő, amelynek menürendszerét és funkcionalitását az európai ügyfelek elvárásaihoz igazodva fejlesztették ki. A fedélzeti rendszerek ugyanakkor nem csak innen, de (ugyancsak tökéletesített) hangvezérléssel is működtethetők.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https://news.smartermedia.hu/nemzetkozi-hirek/teljes-koruen-megujult-az-egyik-legfontosabb-toyota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2026-07-16T07:03:35+02:00</dcterms:created>
  <dcterms:modified xsi:type="dcterms:W3CDTF">2026-07-16T07:03:35+02:00</dcterms:modified>
  <dc:title/>
  <dc:description/>
  <dc:subject/>
  <cp:keywords/>
  <cp:category/>
</cp:coreProperties>
</file>