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 Toyota kínai villanyautógyárának építése</w:t>
      </w:r>
    </w:p>
    <w:p>
      <w:r>
        <w:rPr>
          <w:sz w:val="22"/>
          <w:szCs w:val="22"/>
          <w:b/>
        </w:rPr>
        <w:t xml:space="preserve">Helyi társvállalat bevonása nélkül hozza létre első kínai elektromosjármű-gyártó üzemét a Toyota-csoport. A 100 százalékban saját tulajdonú létesítményben már 2027-ben beindulhat a termelés.</w:t>
      </w:r>
    </w:p>
    <w:p/>
    <w:p>
      <w:pPr>
        <w:spacing w:after="100"/>
      </w:pPr>
      <w:r>
        <w:rPr>
          <w:sz w:val="22"/>
          <w:szCs w:val="22"/>
        </w:rPr>
        <w:t xml:space="preserve">Külföldi beruházók hosszú éveken át csak helyi partnerek bevonásával – azaz bizonyos fokú állami tulajdonrész mellett – kezdhettek gazdasági, ipari tevékenységbe Kínában. Ez különösen látványosan jelentkezett az autóiparban: a Toyota például a XX. század utolsó éveiben a Tianjin Automobile Industry Group bevonásával hozhatta létre autóipari alkatrészeket gyártó vegyesvállalatait. Ezt követte az ezredforduló után a FAW Toyota Motor (FAW Toyota) és a Guangzhou Toyota Motor (GAC Toyota.)</w:t>
      </w:r>
    </w:p>
    <w:p>
      <w:pPr>
        <w:spacing w:after="100"/>
      </w:pPr>
      <w:r>
        <w:rPr>
          <w:sz w:val="22"/>
          <w:szCs w:val="22"/>
        </w:rPr>
        <w:t xml:space="preserve">Ezek a szabályok azonban mostanra sokat lazultak, ma már 100 százalékban külföldi tulajdonú ipari létesítmények is kaphatnak engedélyt. Ez történt most is: a Toyota-csoport vadonatúj villanyautó-gyártó üzeme, amelyre április végén adta áldását Peking, teljes egészében a japán vállalat saját beruházásaként valósulhat meg, méghozzá olyan rohamtempóban, ami a villámépítkezésekhez szokott kínai közönséget is megdöbbentette. </w:t>
      </w:r>
    </w:p>
    <w:p>
      <w:pPr>
        <w:spacing w:after="100"/>
      </w:pPr>
      <w:r>
        <w:rPr>
          <w:sz w:val="22"/>
          <w:szCs w:val="22"/>
        </w:rPr>
        <w:t xml:space="preserve">Az 1,13 millió négyzetméteren elterülő üzem, amelyben a Lexus márka számára fognak villanyautókat gyártani, már 2026 nyarára – alig több mint egy év alatt – felépülhet, és 2027-től megkezdődhet a termelés: évente akár 100 ezer autót fognak itt előállítani, részben globális modelleket, részben a helyi piaci igényekhez igazított, vagy teljes egészében azokhoz fejlesztett típusokat. </w:t>
      </w:r>
    </w:p>
    <w:p>
      <w:pPr>
        <w:spacing w:after="100"/>
      </w:pPr>
      <w:r>
        <w:rPr>
          <w:sz w:val="22"/>
          <w:szCs w:val="22"/>
        </w:rPr>
        <w:t xml:space="preserve">A sanghaji üzem non-stop kapcsolatban áll a Toyota japán központjával, így zavartalanul és rugalmasan mehet a munka, igény esetén akár három műszakban. </w:t>
      </w:r>
    </w:p>
    <w:p>
      <w:pPr>
        <w:spacing w:after="100"/>
      </w:pPr>
      <w:r>
        <w:rPr>
          <w:sz w:val="22"/>
          <w:szCs w:val="22"/>
        </w:rPr>
        <w:t xml:space="preserve">A Toyota-csoport viszonylag későn szállt fel a villanyautó-vonatra, azonban kezdi ledolgozni a hátrányát. Ebben különösen fontos szerepet játszik a bZ3X, amely ma már a legnépszerűbb nem hazai gyártású villanyautó Kínában. Szintén ígéretes a frissen bevezetett bZ5, amely méretét tekintve a Tesla Model Y közvetlen vetélytársa, de csak fele annyiba kerül Kínában. Az is meredek emelkedést vetít előre, hogy a Toyota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legnagyobb helyi technológiai vállalatokkal</w:t>
        </w:r>
      </w:hyperlink>
      <w:r>
        <w:rPr>
          <w:sz w:val="22"/>
          <w:szCs w:val="22"/>
        </w:rPr>
        <w:t xml:space="preserve"> karöltve fejleszti digitális és önvezető rendszereit.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News China, Inside China 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https://news.smartermedia.hu/nemzetkozi-hirek/megkezdodott-a-toyota-kinai-villanyautogyaranak-epitese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stenszintu-szovetsegesekkel-fejleszti-tovabb-villanyautoit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2026-11-01T09:27:48+01:00</dcterms:created>
  <dcterms:modified xsi:type="dcterms:W3CDTF">2026-11-01T09:27:48+01:00</dcterms:modified>
  <dc:title/>
  <dc:description/>
  <dc:subject/>
  <cp:keywords/>
  <cp:category/>
</cp:coreProperties>
</file>