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legértékesebb autógyártói között</w:t>
      </w:r>
    </w:p>
    <w:p>
      <w:r>
        <w:rPr>
          <w:sz w:val="22"/>
          <w:szCs w:val="22"/>
          <w:b/>
        </w:rPr>
        <w:t xml:space="preserve">Az amerikai Fortune magazin évről évre összeállított Global 500 listája pontos képet ad a nemzetközi gazdaság erőviszonyairól; a Toyota-csoport idén újfent ott van a legnagyobbak között.</w:t>
      </w:r>
    </w:p>
    <w:p/>
    <w:p>
      <w:pPr>
        <w:spacing w:after="100"/>
      </w:pPr>
      <w:r>
        <w:rPr>
          <w:sz w:val="22"/>
          <w:szCs w:val="22"/>
        </w:rPr>
        <w:t xml:space="preserve">A Fortune Global 500 az idén hetvenedik évében járó, ikonikus Fortune 500 listának a nemzetközi piacokat is magában foglaló kiadása, amely a világgazdaság legnagyobb jelentőségű szereplőit rangsorolja előző évi forgalmuk szerint. Szakmai szemmel indokolt ez a részletes kimutatás, az átlagember azonban tisztább képet kap a világ állásáról, ha a tíz, illetve száz legnagyobb cégre szűkítjük a kitekintést.</w:t>
      </w:r>
    </w:p>
    <w:p>
      <w:pPr>
        <w:spacing w:after="100"/>
      </w:pPr>
      <w:r>
        <w:rPr>
          <w:sz w:val="22"/>
          <w:szCs w:val="22"/>
        </w:rPr>
        <w:t xml:space="preserve">Az autóipar globális fajsúlyával összecseng, hogy bár a tíz legértékesebb vállalat között nem szerepelnek autógyártók, a Top 100-ban tíz cég is helyet kapott. A százas mezőny első harmadába mindössze két vállalat fért be: a Volkswagen-csoport, amely a 2024-es listához képest egy hellyel hátrébb csúszva a tizenkettedik, és a Toyota-csoport, amely ezúttal a tizenötödik legnagyobb bevételű cég a világon. Mindkét vállalat harmincegyedik alkalommal szerepel a Fortune Global 500 listán, akárcsak az itt szereplő cégek többsége.</w:t>
      </w:r>
    </w:p>
    <w:p>
      <w:r>
        <w:pict>
          <v:shape type="#_x0000_t75" style="width:800px;height:400px">
            <v:imagedata r:id="rId7" o:title=""/>
          </v:shape>
        </w:pict>
      </w:r>
    </w:p>
    <w:p>
      <w:r>
        <w:pict>
          <v:shape type="#_x0000_t75" style="width:800px;height:36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315,11 milliárd dolláros bevétele 1 százalékkal haladta meg az egy évvel korábbit, a profit 8,6 százalékkal 31,26 milliárd dollárra csökkent. Az autógyártó teljes vagyona 624,5 milliárd dollárra tehető; az alkalmazotti létszám világszerte meghaladja a 383 ezret. Ez utóbbi egyébként nem egészen kétharmada (59%) a Volkswagen-csoporténak, miközben a két cég bevétele között alig több mint 10 százalék a különbség, azaz fajlagosan jóval hatékonyabban termel a japán vállalat, mint a német.</w:t>
      </w:r>
    </w:p>
    <w:p>
      <w:pPr>
        <w:spacing w:after="100"/>
      </w:pPr>
      <w:r>
        <w:rPr>
          <w:sz w:val="22"/>
          <w:szCs w:val="22"/>
        </w:rPr>
        <w:t xml:space="preserve">Érdekes módon a Toyota-csoport az egyetlen ázsiai autógyártó, amely befért az ötven legnagyobb bevétellel rendelkező globális nagyvállalat közé: a hét Top 50-es vállalat között két amerikai, egy amerikai-európai és három európai gyökerekkel rendelkező cég szerepel.</w:t>
      </w:r>
    </w:p>
    <w:p>
      <w:pPr>
        <w:spacing w:after="100"/>
      </w:pPr>
      <w:r>
        <w:rPr>
          <w:sz w:val="22"/>
          <w:szCs w:val="22"/>
        </w:rPr>
        <w:t xml:space="preserve">Hozzá kell szoknunk, hogy immár kínai cégek is szerepelnek a világ száz legerősebb vállalkozása között. A 2024-es rangsorban a SAIC Motor a 93. helyen szerepelt, idén pedig a BYD nyitott a legjobb százban. A magyarországi érdekeltségekkel is rendelkező cég egyetlen év alatt 52 helyezést javított, míg honfitársa, a SAIC közel ugyanennyit (-45) esett vissza a rangsorban.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Fortune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https://news.smartermedia.hu/nemzetkozi-hirek/a-toyota-a-vilag-legertekesebb-autogyartoi-kozott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2026-09-21T05:15:26+02:00</dcterms:created>
  <dcterms:modified xsi:type="dcterms:W3CDTF">2026-09-21T05:15:26+02:00</dcterms:modified>
  <dc:title/>
  <dc:description/>
  <dc:subject/>
  <cp:keywords/>
  <cp:category/>
</cp:coreProperties>
</file>