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Történelmi csúcsponton a Toyota Európában</w:t>
      </w:r>
    </w:p>
    <w:p>
      <w:r>
        <w:rPr>
          <w:sz w:val="22"/>
          <w:szCs w:val="22"/>
          <w:b/>
        </w:rPr>
        <w:t xml:space="preserve">Fennállásának legjobb első három negyedévét zárta szeptember végén a Toyota Motor Europe. Az autógyártó összes üzleti egysége eladási rekordot ért el, ahogy villamosított modellekből sem adott még el ennyit a vállalat.</w:t>
      </w:r>
    </w:p>
    <w:p/>
    <w:p>
      <w:pPr>
        <w:spacing w:after="100"/>
      </w:pPr>
      <w:r>
        <w:rPr>
          <w:sz w:val="22"/>
          <w:szCs w:val="22"/>
        </w:rPr>
        <w:t xml:space="preserve">A 2025 januárja és szeptembere közötti kilenc hónapban összesen 930 452 gépjárművet értékesített a Toyota Motor Europe, ami éves szinten 2%-os növekedésnek felel meg. </w:t>
      </w:r>
    </w:p>
    <w:p>
      <w:pPr>
        <w:spacing w:after="100"/>
      </w:pPr>
      <w:r>
        <w:rPr>
          <w:sz w:val="22"/>
          <w:szCs w:val="22"/>
        </w:rPr>
        <w:t xml:space="preserve">Ebben az időszakban soha nem volt még ilyen magas a </w:t>
      </w:r>
      <w:r>
        <w:rPr>
          <w:sz w:val="22"/>
          <w:szCs w:val="22"/>
          <w:b/>
        </w:rPr>
        <w:t xml:space="preserve">Toyota csoport</w:t>
      </w:r>
      <w:r>
        <w:rPr>
          <w:sz w:val="22"/>
          <w:szCs w:val="22"/>
        </w:rPr>
        <w:t xml:space="preserve"> forgalma, ahogy a Toyota és a Lexus márkák szintén egyéni csúcsot értek el. A részben és teljesen villamosított járművek eladásai ennél is nagyobb arányban, 5 százalékkal nőttek, és elérték a 716 990 darabot. Nyugat-Európában 80, Kelet-Európában 58, a teljes régióra vetítve 77 százalékkal részesülnek a hibrid és tisztán elektromos modellek a cég összeladásaiból.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865 401 autót adott el, és ezzel megőrizte második helyét az európai piac abszolút márkarangsorában. A villamosított modellek eladásai (655 556 db) 5%-kal nőttek, és minden négy eladott Toyotából hármat (76%) részben vagy teljesen elektromos hajtáslánccal vásárolnak meg az ügyfelek. A tisztán elektromos járművek (BEV) eladásai 46 százalékkal erősödtek, elérve a 39 098 darabot, mg a plug-in hibridek 67 691 eladott autóval csaknem megháromszorozták (+292%) a forgalmukat. A legnépszerűbb modellek a Yaris Cross, a Yaris és a C-HR voltak. A haszonjármű-felelős </w:t>
      </w:r>
      <w:r>
        <w:rPr>
          <w:sz w:val="22"/>
          <w:szCs w:val="22"/>
          <w:b/>
        </w:rPr>
        <w:t xml:space="preserve">Toyota Professional</w:t>
      </w:r>
      <w:r>
        <w:rPr>
          <w:sz w:val="22"/>
          <w:szCs w:val="22"/>
        </w:rPr>
        <w:t xml:space="preserve"> 21% -os növekedést regisztrált január és szeptember között, amely időszakban összesen 117 410 jármű talált gazdára.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szintén rekordot döntött Európában, a 65 051 eladott autó 2%-os növekedést jelent éves szinten. Ennél is nagyobb arányban, 7%-kal nőttek a villamosított Lexus modellek eladásai. A márka Nyugat-Európában kizárólag ilyen járműveket értékesít (100%), Kelet-Európában 51% az arányuk, míg a teljes térségre vetítve 94% a részben vagy teljesen elektromos modellek részesedése a teljes eladásokból, amelyeket az LBX és az NX modellek uraltak. </w:t>
      </w:r>
    </w:p>
    <w:p>
      <w:pPr>
        <w:spacing w:after="100"/>
      </w:pPr>
      <w:r>
        <w:rPr>
          <w:sz w:val="22"/>
          <w:szCs w:val="22"/>
          <w:b/>
        </w:rPr>
        <w:t xml:space="preserve">Toyota Motor Europe eladások 2025. január-szeptember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és Lexus összes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930 452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72" w:type="dxa"/>
        <w:gridCol w:w="4498" w:type="dxa"/>
      </w:tblGrid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összes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865 401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76 057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129 085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128 603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151 494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151 488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ötajtós és Touring Sports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72 289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72 274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szedán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44 117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24 114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42 202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109 143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77 961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31 182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Prius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Mirai FCEV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276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9192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6912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GR86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Yaris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1421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68 799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44 787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22 937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23 841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Highlander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1157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15 834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36 652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és ProAce Verso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26 723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5468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 és ProAce City Verso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44 232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8431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9803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Egyéb modellek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összes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65 051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3398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3341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LS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19 336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8673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10 430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7067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5663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1404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6862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2603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3461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21 162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RZ tisztán elektromos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LM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https://news.smartermedia.hu/nemzetkozi-hirek/tortenelmi-csucsponton-a-toyota-europaban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2026-07-01T20:41:03+02:00</dcterms:created>
  <dcterms:modified xsi:type="dcterms:W3CDTF">2026-07-01T20:41:03+02:00</dcterms:modified>
  <dc:title/>
  <dc:description/>
  <dc:subject/>
  <cp:keywords/>
  <cp:category/>
</cp:coreProperties>
</file>