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Hivatalosan is bemutatkozott a Toyota első szupersportautója</w:t>
      </w:r>
    </w:p>
    <w:p>
      <w:r>
        <w:rPr>
          <w:sz w:val="22"/>
          <w:szCs w:val="22"/>
          <w:b/>
        </w:rPr>
        <w:t xml:space="preserve">A két év múlva megvásárolható GR GT legalább 650 lóerős, V8-as ikerturbós benzinmotorra épülő hibrid hajtása 320 km/h-s végsebességet tesz lehetővé.</w:t>
      </w:r>
    </w:p>
    <w:p/>
    <w:p>
      <w:pPr>
        <w:spacing w:after="100"/>
      </w:pPr>
      <w:r>
        <w:rPr>
          <w:sz w:val="22"/>
          <w:szCs w:val="22"/>
        </w:rPr>
        <w:t xml:space="preserve">Bár egyelőre még csak prototípusként, de a Toyota végre bemutatta az új szupersportautóját, amelyet álcázva már Goodwoodba is elvitt nyáron. A GR GT körülbelül két év múlva kerül forgalomba, mint a Mercedes-AMG GT és az Aston Martin Vantage közvetlen riválisa. December 5-én reggel az utcára szánt szériaváltozatot és a GT3-specifikációjú versenyautó kivitelt egyszerre leplezték le Japánban, ami azt bizonyítja, hogy párhuzamosan tervezték és fejlesztették őket. </w:t>
      </w:r>
    </w:p>
    <w:p>
      <w:pPr>
        <w:spacing w:after="100"/>
      </w:pPr>
      <w:r>
        <w:rPr>
          <w:sz w:val="22"/>
          <w:szCs w:val="22"/>
        </w:rPr>
        <w:t xml:space="preserve">Az GR GT és GR GT3, valamint a velük egyszerre bemutatott, azonos műszaki alapra épülő, de tisztán elektromos hajtású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új Lexus LFA</w:t>
        </w:r>
      </w:hyperlink>
      <w:r>
        <w:rPr>
          <w:sz w:val="22"/>
          <w:szCs w:val="22"/>
        </w:rPr>
        <w:t xml:space="preserve"> alkotja majd a Toyota-csoport sportautó-kínálatának csúcsát. Az autógyártó szerint a fő cél az volt, hogy </w:t>
      </w:r>
      <w:r>
        <w:rPr>
          <w:sz w:val="22"/>
          <w:szCs w:val="22"/>
          <w:i/>
          <w:iCs/>
        </w:rPr>
        <w:t xml:space="preserve">„az új kupét magas szintű dinamikai képességekkel ruházzák fel, és elérjék az autó és a vezető közötti egység érzetét”</w:t>
      </w:r>
      <w:r>
        <w:rPr>
          <w:sz w:val="22"/>
          <w:szCs w:val="22"/>
        </w:rPr>
        <w:t xml:space="preserve">. Ennek érdekében a vállalat elnöke, a „mesterpilótának” számító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 szorosan együttműködött a fejlesztőmérnökökkel, de Japán legkiválóbb autóversenyzőit is bevonták a munkába. </w:t>
      </w:r>
    </w:p>
    <w:p>
      <w:r>
        <w:pict>
          <v:shape type="#_x0000_t75" style="width:800px;height:533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hibrid hajtáslánc lelke a négyiteres, V8-as ikerturbós motor, amely a villanymotorral együtt minimum 650 lóerőt és 850 nyomatékot továbbít a hátsó kerekekhez egy szénszál-erősítésű tolócsövön keresztül. Sajnos a legalább 320 km/h-nak ígért végsebességet leszámítva nem hoztak nyilvánosságra menetteljesítmény-adatokat, de becslések szerint a százas sprintidő bőven négy másodpercen belüli lehet. A benzinmotor könnyű és kompakt, köszönhetően a „forró V ” elrendezésnek (a turbók a hengersorok között helyezkednek el), a rövid (83,1 mm) löketnek, valamint a száraz karteres kenési rendszernek és a vékony olajteknőnek.</w:t>
      </w:r>
    </w:p>
    <w:p>
      <w:pPr>
        <w:spacing w:after="100"/>
      </w:pPr>
      <w:r>
        <w:rPr>
          <w:sz w:val="22"/>
          <w:szCs w:val="22"/>
        </w:rPr>
        <w:t xml:space="preserve">Szinte biztos, hogy a Toyota más modellekben is felhasználja majd az új V8-ast, tekintettel a fejlesztésébe fektetett jelentős időre és pénzre. Mi a Century kupét és SUV-ot említenénk, amelyek esélyesek arra, hogy megkapják. A Toyota az új motort az egyre szigorodó kibocsátási előírásoknak megfelelővé teszi, hogy sokáig gyártásban maradhasson.</w:t>
      </w:r>
    </w:p>
    <w:p>
      <w:pPr>
        <w:spacing w:after="100"/>
      </w:pPr>
      <w:r>
        <w:rPr>
          <w:sz w:val="22"/>
          <w:szCs w:val="22"/>
        </w:rPr>
        <w:t xml:space="preserve">Négy kulcsfontosságú területre összpontosítottak a 4820 mm hosszú, 2000 mm széles és 1195 mm méter magas karosszéria tervezésekor: alacsony súlypont, kis tömeg, nagy merevség, valamint aerodinamikai hatékonyság. Az izgalmas és sportos hanghatásokra szintén odafigyeltek, a kipufogórendszert úgy alakították ki, hogy a hangja szinkronban legyen a gázpedál pillanatnyi helyzetével és a jármű állapotával.</w:t>
      </w:r>
    </w:p>
    <w:p>
      <w:pPr>
        <w:spacing w:after="100"/>
      </w:pPr>
      <w:r>
        <w:rPr>
          <w:sz w:val="22"/>
          <w:szCs w:val="22"/>
        </w:rPr>
        <w:t xml:space="preserve">A motor erejét a hátsó kerekekhez egy szintén új, nyolcfokozatú automata váltó továbbítja, amely nedves tengelykapcsolóval rendelkezik hidrodinamikus nyomatékváltó helyett, hogy gyorsabb és direktebb kapcsolásokat biztosítson. Ahogy az elvárható egy szupersportautótól, a részlegesen önzáró, mechanikus hátsó differenciálmű is alapáron jár. A kis villanymotor (amelynek műszaki adatai még titkosak) a benzinmotor és a sebességváltó között található, a fő feladata, hogy kitöltse azokat a réseket, amelyek sebességváltások során képződének a nyomatékfolyamban.</w:t>
      </w:r>
    </w:p>
    <w:p>
      <w:pPr>
        <w:spacing w:after="100"/>
      </w:pPr>
      <w:r>
        <w:rPr>
          <w:sz w:val="22"/>
          <w:szCs w:val="22"/>
        </w:rPr>
        <w:t xml:space="preserve">A GR GT versenyeken edzett koncepciója megmutatkozik az aerodinamikailag optimalizált karosszériájában és a vezetőre fókuszáló műszerfalában, amely a Toyota szerint „mind a profi, mind az amatőr versenyzők” számára megfelel majd mind versenypályán, mind közúton. Érdemes megjegyezni, hogy sem a GR GT külsején, sem a kabinjában (még a lapított kormányon sem) nem található Toyota-embléma, mivel a Gazoo Racing a csoporton belül már önálló márkaként működik, hasonlóan a Lexushoz vagy a Centuryhez.</w:t>
      </w:r>
    </w:p>
    <w:p>
      <w:pPr>
        <w:spacing w:after="100"/>
      </w:pPr>
      <w:r>
        <w:rPr>
          <w:sz w:val="22"/>
          <w:szCs w:val="22"/>
        </w:rPr>
        <w:t xml:space="preserve">A kabin kialakításánál prioritást élvezett a lehető legjobb kilátás, a védettség érzésének fokozása és az ideális vezetési pozíció. Különös figyelmet fordítottak a kiváló kezelhetőségre és ergonómiára, a vezetéssel kapcsolatos kapcsolókat ezért a lapított aljú kormánykerék közelében helyezték el, és úgy alakították ki, hogy intuitív módon lehessen őket kezelni. Nagy figyelmet fordítottak a digitális műszerekre, a váltásra figyelmeztető és a sebességfokozat-jelző szélességét, magasságát és elhelyezkedését rengeteg tesztelés után határozták meg.</w:t>
      </w:r>
    </w:p>
    <w:p>
      <w:r>
        <w:pict>
          <v:shape type="#_x0000_t75" style="width:800px;height:600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futómű hangolásánál a Toyota arra törekedett, hogy a GR GT lineáris reakciókat és magas szintű irányíthatóságot nyújtson, akár versenypályán, akár a városban vezetik. Ez az első Toyota alumínium karosszériával, a géptető és a tetőpanelek viszont szénszálból készülnek, akárcsak a Brembótól származó féktárcsák. A súlycsökkentő intézkedéseknek köszönhetően a GR GT tömege csak 1750 kg, vagyis körülbelül három mázsával könnyebb, mint a négykerék-meghajtású Mercedes-AMG GT. Bár a motor elöl – de az első tengely mögött – található, így is csak a tömeg 45 százaléka jut az első, és 55 százaléka a hátsó tengelyre, mert a sebességváltó a hátsó tengelynél található (transaxle-elrendezés). </w:t>
      </w:r>
    </w:p>
    <w:p>
      <w:pPr>
        <w:spacing w:after="100"/>
      </w:pPr>
      <w:r>
        <w:rPr>
          <w:sz w:val="22"/>
          <w:szCs w:val="22"/>
        </w:rPr>
        <w:t xml:space="preserve">A személyre szabható menetstabilizáló rendszer fejlesztésénél a nürburgringi 24 órás versenyeken szerezett tapasztalatokat is felhasználták. Minden sarokban igényes, kettős keresztlengőkaros, alumínium felfüggesztések tartják a kereket adaptív lengéscsillapítókkal, elöl 265/35 ZR20, hátul 325/30 ZR20-as, speciálisan a GR GT számára fejlesztett keverékű Michelin Pilot Sport Cup 2 semi-slick abroncsokat húznak a kovácsolt felnikre.</w:t>
      </w:r>
    </w:p>
    <w:p>
      <w:pPr>
        <w:spacing w:after="100"/>
      </w:pPr>
      <w:r>
        <w:rPr>
          <w:sz w:val="22"/>
          <w:szCs w:val="22"/>
        </w:rPr>
        <w:t xml:space="preserve">A fejlesztés során a Toyota arra is ügyelt, hogy „az autógyártás titkos összetevőjét” megismerjék a fiatal mérnökei, akik az eredeti, 15 éve bemutatott LFA fejlesztésén dolgozó idősebb kollegáikkal közösen vettek részt az új szupersportautók megalkotásában.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https://news.smartermedia.hu/nemzetkozi-hirek/hivatalosan-is-bemutatkozott-a-toyota-elso-szupersportautoja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9" Type="http://schemas.openxmlformats.org/officeDocument/2006/relationships/image" Target="media/section_image2.jpg"/>
  <Relationship Id="rId7" Type="http://schemas.openxmlformats.org/officeDocument/2006/relationships/hyperlink" Target="https://news.smartermedia.hu/nemzetkozi-hirek/immar-teny-nem-feltetelezes-visszater-a-lexus-lfa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2026-05-07T22:34:42+02:00</dcterms:created>
  <dcterms:modified xsi:type="dcterms:W3CDTF">2026-05-07T22:34:42+02:00</dcterms:modified>
  <dc:title/>
  <dc:description/>
  <dc:subject/>
  <cp:keywords/>
  <cp:category/>
</cp:coreProperties>
</file>