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Új rekorddal, magabiztos növekedéssel zárta az évet a Lexus</w:t>
      </w:r>
    </w:p>
    <w:p>
      <w:r>
        <w:rPr>
          <w:sz w:val="22"/>
          <w:szCs w:val="22"/>
          <w:b/>
        </w:rPr>
        <w:t xml:space="preserve">Egyes piacain stagnált, másutt látványosan erősödött a Toyota-csoport prémiummárkája, amely fontos modellújdonságokkal és egy meghatározó jubileummal tette emlékezetessé a 2025-ös évet.</w:t>
      </w:r>
    </w:p>
    <w:p/>
    <w:p>
      <w:pPr>
        <w:spacing w:after="100"/>
      </w:pPr>
      <w:r>
        <w:rPr>
          <w:sz w:val="22"/>
          <w:szCs w:val="22"/>
        </w:rPr>
        <w:t xml:space="preserve">A Lexus eddigi legjobb évét zárta 2025-ben: világszerte 882 231 autót adott el a márka, ami 4%-kal haladta meg a 2024-es eredményt. </w:t>
      </w:r>
    </w:p>
    <w:p>
      <w:pPr>
        <w:spacing w:after="100"/>
      </w:pPr>
      <w:r>
        <w:rPr>
          <w:sz w:val="22"/>
          <w:szCs w:val="22"/>
        </w:rPr>
        <w:t xml:space="preserve">A három és fél évtizedes hagyománnyal nem szakítva Észak-Amerika volt a Lexus legnagyobb piaca: az USA, Kanada és Mexikó a teljes globális forgalom 46 százalékát tette ki, a 408 070 eladott jármű 7,5 százalékkal múlta felül az előző év azonos értékét. Hasonló mértékű növekedést mutatott az óceániai régió (+6,7%). A fejlődő piacokon minimálisnak mondható a Lexus jelenléte, ugyanakkor 2025-ben markáns volt itt az erősödés: Latin-Amerikában 13,8, Afrikában 18,8 százalékkal több autót adott el a márka. Európa minimális visszaeséssel, a közel-keleti és ázsiai piacok kismértékű erősödéssel tartották stabilan a Lexus pozícióját. </w:t>
      </w:r>
    </w:p>
    <w:p>
      <w:pPr>
        <w:spacing w:after="100"/>
      </w:pPr>
      <w:r>
        <w:rPr>
          <w:sz w:val="22"/>
          <w:szCs w:val="22"/>
        </w:rPr>
        <w:t xml:space="preserve">A 2025-ös évet emlékezetessé tette, hogy Japánban ekkor ünnepelte huszadik évfordulóját a márka: a Lexus Észak-Amerika után 16, Európa után 15 évvel jelent meg a szigetországban, amely mostanra Európán is túlnőve a Lexus harmadik legfontosabb piacává erősödött. Szimbolikus jelentőségű, hogy pont ezen a jubileumon és pont Japánban jelentette be a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Lexus teljes újraértelmezését</w:t>
        </w:r>
      </w:hyperlink>
      <w:r>
        <w:rPr>
          <w:sz w:val="22"/>
          <w:szCs w:val="22"/>
        </w:rPr>
        <w:t xml:space="preserve"> a vállalat: a globális prémium-autógyártó kötöttségei alól felszabaduló márka a jövőben az autóipar határain túllépve olyan innovatív életstílusbrandként létezik tovább, amely az igényes ügyfelek legváltozatosabb elvárásaira képes messzemenőkig eredeti és utánozhatatlan megoldást kínálni.</w:t>
      </w:r>
    </w:p>
    <w:p>
      <w:pPr>
        <w:spacing w:after="100"/>
      </w:pPr>
      <w:r>
        <w:rPr>
          <w:sz w:val="22"/>
          <w:szCs w:val="22"/>
        </w:rPr>
        <w:t xml:space="preserve">Ez persze nem jelenti azt, hogy le kellene mondanunk a Lexus autóiról – ellenkezőleg, a profilváltás olyan „észszerűtlen” projektek előtt is megnyitotta az utat, amelyeknél nem a profit és a darabszám a meghatározó, hanem a presztízs és a tartalom. Hogy mire számíthatunk, arról sokat elmond, hogy hamarosan modern utódot kap minden idők legtökéletesebb japán sportautója, a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Lexus LFA</w:t>
        </w:r>
      </w:hyperlink>
      <w:r>
        <w:rPr>
          <w:sz w:val="22"/>
          <w:szCs w:val="22"/>
        </w:rPr>
        <w:t xml:space="preserve">. </w:t>
      </w:r>
    </w:p>
    <w:p>
      <w:pPr>
        <w:spacing w:after="100"/>
      </w:pPr>
      <w:r>
        <w:rPr>
          <w:sz w:val="22"/>
          <w:szCs w:val="22"/>
        </w:rPr>
        <w:t xml:space="preserve">Lexus globális eladások, 2025</w:t>
      </w:r>
    </w:p>
    <w:tbl>
      <w:tblPr>
        <w:tblStyle w:val="temp_table_style"/>
      </w:tblPr>
      <w:tblGrid>
        <w:gridCol w:w="2250" w:type="dxa"/>
        <w:gridCol w:w="2250" w:type="dxa"/>
        <w:gridCol w:w="2250" w:type="dxa"/>
        <w:gridCol w:w="2250" w:type="dxa"/>
      </w:tblGrid>
      <w:tr>
        <w:tc>
          <w:tcPr>
            <w:tcW w:w="22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Térség</w:t>
            </w:r>
          </w:p>
        </w:tc>
        <w:tc>
          <w:tcPr>
            <w:tcW w:w="22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Eladások 2025</w:t>
            </w:r>
          </w:p>
        </w:tc>
        <w:tc>
          <w:tcPr>
            <w:tcW w:w="22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Eladások 2024</w:t>
            </w:r>
          </w:p>
        </w:tc>
        <w:tc>
          <w:tcPr>
            <w:tcW w:w="22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Változás</w:t>
            </w:r>
          </w:p>
        </w:tc>
      </w:tr>
      <w:tr>
        <w:tc>
          <w:tcPr>
            <w:tcW w:w="22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Észak-Amerika</w:t>
            </w:r>
          </w:p>
        </w:tc>
        <w:tc>
          <w:tcPr>
            <w:tcW w:w="22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408 070</w:t>
            </w:r>
          </w:p>
        </w:tc>
        <w:tc>
          <w:tcPr>
            <w:tcW w:w="22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379 589</w:t>
            </w:r>
          </w:p>
        </w:tc>
        <w:tc>
          <w:tcPr>
            <w:tcW w:w="22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+7,5%</w:t>
            </w:r>
          </w:p>
        </w:tc>
      </w:tr>
      <w:tr>
        <w:tc>
          <w:tcPr>
            <w:tcW w:w="22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Latin-Amerika</w:t>
            </w:r>
          </w:p>
        </w:tc>
        <w:tc>
          <w:tcPr>
            <w:tcW w:w="22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4 684</w:t>
            </w:r>
          </w:p>
        </w:tc>
        <w:tc>
          <w:tcPr>
            <w:tcW w:w="22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4 117</w:t>
            </w:r>
          </w:p>
        </w:tc>
        <w:tc>
          <w:tcPr>
            <w:tcW w:w="22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+13,8%</w:t>
            </w:r>
          </w:p>
        </w:tc>
      </w:tr>
      <w:tr>
        <w:tc>
          <w:tcPr>
            <w:tcW w:w="22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Kína</w:t>
            </w:r>
          </w:p>
        </w:tc>
        <w:tc>
          <w:tcPr>
            <w:tcW w:w="22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182 458</w:t>
            </w:r>
          </w:p>
        </w:tc>
        <w:tc>
          <w:tcPr>
            <w:tcW w:w="22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181 906</w:t>
            </w:r>
          </w:p>
        </w:tc>
        <w:tc>
          <w:tcPr>
            <w:tcW w:w="22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+0,3%</w:t>
            </w:r>
          </w:p>
        </w:tc>
      </w:tr>
      <w:tr>
        <w:tc>
          <w:tcPr>
            <w:tcW w:w="22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Japán</w:t>
            </w:r>
          </w:p>
        </w:tc>
        <w:tc>
          <w:tcPr>
            <w:tcW w:w="22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87 418</w:t>
            </w:r>
          </w:p>
        </w:tc>
        <w:tc>
          <w:tcPr>
            <w:tcW w:w="22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86 070</w:t>
            </w:r>
          </w:p>
        </w:tc>
        <w:tc>
          <w:tcPr>
            <w:tcW w:w="22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+1,6%</w:t>
            </w:r>
          </w:p>
        </w:tc>
      </w:tr>
      <w:tr>
        <w:tc>
          <w:tcPr>
            <w:tcW w:w="22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Ázsia egyéb</w:t>
            </w:r>
          </w:p>
        </w:tc>
        <w:tc>
          <w:tcPr>
            <w:tcW w:w="22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55 488</w:t>
            </w:r>
          </w:p>
        </w:tc>
        <w:tc>
          <w:tcPr>
            <w:tcW w:w="22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55 429</w:t>
            </w:r>
          </w:p>
        </w:tc>
        <w:tc>
          <w:tcPr>
            <w:tcW w:w="22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+0,2%</w:t>
            </w:r>
          </w:p>
        </w:tc>
      </w:tr>
      <w:tr>
        <w:tc>
          <w:tcPr>
            <w:tcW w:w="22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Óceánia</w:t>
            </w:r>
          </w:p>
        </w:tc>
        <w:tc>
          <w:tcPr>
            <w:tcW w:w="22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16 297</w:t>
            </w:r>
          </w:p>
        </w:tc>
        <w:tc>
          <w:tcPr>
            <w:tcW w:w="22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15 269</w:t>
            </w:r>
          </w:p>
        </w:tc>
        <w:tc>
          <w:tcPr>
            <w:tcW w:w="22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+6,7%</w:t>
            </w:r>
          </w:p>
        </w:tc>
      </w:tr>
      <w:tr>
        <w:tc>
          <w:tcPr>
            <w:tcW w:w="22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Európa</w:t>
            </w:r>
          </w:p>
        </w:tc>
        <w:tc>
          <w:tcPr>
            <w:tcW w:w="22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80 686</w:t>
            </w:r>
          </w:p>
        </w:tc>
        <w:tc>
          <w:tcPr>
            <w:tcW w:w="22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82 571</w:t>
            </w:r>
          </w:p>
        </w:tc>
        <w:tc>
          <w:tcPr>
            <w:tcW w:w="22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-2,3%</w:t>
            </w:r>
          </w:p>
        </w:tc>
      </w:tr>
      <w:tr>
        <w:tc>
          <w:tcPr>
            <w:tcW w:w="22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Közel-Kelet</w:t>
            </w:r>
          </w:p>
        </w:tc>
        <w:tc>
          <w:tcPr>
            <w:tcW w:w="22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45 645</w:t>
            </w:r>
          </w:p>
        </w:tc>
        <w:tc>
          <w:tcPr>
            <w:tcW w:w="22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45 013</w:t>
            </w:r>
          </w:p>
        </w:tc>
        <w:tc>
          <w:tcPr>
            <w:tcW w:w="22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+1,4%</w:t>
            </w:r>
          </w:p>
        </w:tc>
      </w:tr>
      <w:tr>
        <w:tc>
          <w:tcPr>
            <w:tcW w:w="22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Afrika</w:t>
            </w:r>
          </w:p>
        </w:tc>
        <w:tc>
          <w:tcPr>
            <w:tcW w:w="22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1 485</w:t>
            </w:r>
          </w:p>
        </w:tc>
        <w:tc>
          <w:tcPr>
            <w:tcW w:w="22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1 250</w:t>
            </w:r>
          </w:p>
        </w:tc>
        <w:tc>
          <w:tcPr>
            <w:tcW w:w="22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+18,8%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>
      <w:pPr>
        <w:spacing w:after="100"/>
      </w:pP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https://news.smartermedia.hu/nemzetkozi-hirek/uj-rekorddal-magabiztos-novekedessel-zarta-az-evet-a-lexus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uj-hatarok-fele-hogyan-alakul-at-a-lexus" TargetMode="External"/>
  <Relationship Id="rId8" Type="http://schemas.openxmlformats.org/officeDocument/2006/relationships/hyperlink" Target="https://news.smartermedia.hu/nemzetkozi-hirek/immar-teny-nem-feltetelezes-visszater-a-lexus-lfa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2026-10-18T22:31:15+02:00</dcterms:created>
  <dcterms:modified xsi:type="dcterms:W3CDTF">2026-10-18T22:31:15+02:00</dcterms:modified>
  <dc:title/>
  <dc:description/>
  <dc:subject/>
  <cp:keywords/>
  <cp:category/>
</cp:coreProperties>
</file>