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Tarifák és geopolitikai feszültségek mellett is stabil maradt a Toyota</w:t>
      </w:r>
    </w:p>
    <w:p>
      <w:r>
        <w:rPr>
          <w:sz w:val="22"/>
          <w:szCs w:val="22"/>
          <w:b/>
        </w:rPr>
        <w:t xml:space="preserve">Bár a Toyota Motor Corporation nyereségét jelentősen visszafogták az amerikai vámok és a költségoldali nyomások, a japán autógyártó a 2026-os pénzügyi évben is növelni tudta árbevételét és globális eladásait. A vállalat eredményei jól mutatják, hogy a Toyota üzleti modellje továbbra is kiemelkedően ellenálló, amelyben egyre nagyobb hangsúlyt kapnak az elektrifikált modellek és az új mobilitási szolgáltatások.</w:t>
      </w:r>
    </w:p>
    <w:p/>
    <w:p>
      <w:pPr>
        <w:spacing w:after="100"/>
      </w:pPr>
      <w:r>
        <w:rPr>
          <w:sz w:val="22"/>
          <w:szCs w:val="22"/>
        </w:rPr>
        <w:t xml:space="preserve">A Toyota Motor Corporation a 2026-os pénzügyi évben – azaz 2025 áprilisa és 2026 márciusa között – 50,7 billió jenes árbevételt ért el, ami 5,5 százalékos növekedést jelent az előző évhez képest. A működési eredmény ugyanakkor 4,8 billió jenről 3,77 billió jenre csökkent, a nettó profit pedig 3,85 billió jenre mérséklődött. A visszaesés első látásra jelentősnek tűnik, ám a háttérben elsősorban olyan külső tényezők állnak, amelyek az egész globális autóipart sújtják.</w:t>
      </w:r>
    </w:p>
    <w:p>
      <w:pPr>
        <w:spacing w:after="100"/>
      </w:pPr>
      <w:r>
        <w:rPr>
          <w:sz w:val="22"/>
          <w:szCs w:val="22"/>
        </w:rPr>
        <w:t xml:space="preserve">A Toyota számításai szerint önmagában az amerikai vámintézkedések 1,38 billió jennel rontották a működési eredményt, miközben az alapanyagárak emelkedése, a beszállítói láncok megerősítésének költségei, a kutatás-fejlesztési kiadások és a növekvő bérköltségek is komoly terhet jelentettek. A vállalat ugyanakkor hangsúlyozta, hogy ezeket részben sikerült ellensúlyozni a költségcsökkentési programokkal, az értékláncüzletágak bővülésével, valamint az erős modellmixnek és az áremeléseknek köszönhetően.</w:t>
      </w:r>
    </w:p>
    <w:p>
      <w:pPr>
        <w:spacing w:after="100"/>
      </w:pPr>
      <w:r>
        <w:rPr>
          <w:sz w:val="22"/>
          <w:szCs w:val="22"/>
        </w:rPr>
        <w:t xml:space="preserve">A Toyota és a Lexus globális járműeladásai 10,48 millió darabra emelkedtek, ami 2 százalékos növekedésnek felel meg. Különösen fontos, hogy az elektrifikált modellek értékesítése 6,5 százalékkal, 5,04 millió darabra nőtt, így ezek már az összes eladás 48 százalékát adják. A hibridek továbbra is a Toyota legfontosabb pillérét jelentik: 4,62 millió darab talált gazdára belőlük, de még látványosabb a tisztán elektromos modellek előretörése. A BEV-eladások közel 70 százalékkal ugrottak meg, 243 ezer darabra.</w:t>
      </w:r>
    </w:p>
    <w:p>
      <w:pPr>
        <w:spacing w:after="100"/>
      </w:pPr>
      <w:r>
        <w:rPr>
          <w:sz w:val="22"/>
          <w:szCs w:val="22"/>
        </w:rPr>
        <w:t xml:space="preserve">Regionális bontásban Észak-Amerika és Ázsia bizonyult a növekedés motorjának. Észak-Amerikában 8,5 százalékkal, Ázsiában pedig 4,6 százalékkal bővültek az eladások. Európa is stabilan teljesített, míg Japánban és részben Kínában visszafogottabb kereslettel kellett szembenézni. Utóbbi különösen érzékeny piac lett az elmúlt időszakban, elsősorban a helyi gyártók agresszív árversenye miatt, ennek ellenére a Toyota kínai üzletága továbbra is nyereséges maradt.</w:t>
      </w:r>
    </w:p>
    <w:p>
      <w:r>
        <w:pict>
          <v:shape type="#_x0000_t75" style="width:800px;height:279px">
            <v:imagedata r:id="rId7" o:title=""/>
          </v:shape>
        </w:pict>
      </w:r>
    </w:p>
    <w:p>
      <w:pPr>
        <w:spacing w:after="100"/>
      </w:pPr>
      <w:r>
        <w:rPr>
          <w:sz w:val="22"/>
          <w:szCs w:val="22"/>
        </w:rPr>
        <w:t xml:space="preserve">A pénzügyi szolgáltatási üzletág ismét fontos stabilizáló tényezőnek bizonyult; ide tartozik például a hitelezés, a finanszírozás, a lízing, a biztosítások vagy a használt autós pénzügyi termékek. A terület működési eredménye 684 milliárd jenről 852 milliárd jenre nőtt, amit főként a hitelállomány bővülése és az értéklánc-szolgáltatások erősödése támogatott. Az értéklánc-szolgáltatásokhoz tartozik többek között a szervizelés, a karbantartások vagy az alkatrész- és tartozékértékesítés. A Toyota egyre hangsúlyosabban kommunikálja, hogy a jövőben nem pusztán autógyártóként, hanem mobilitási vállalatként kíván működni, amelyben a kapcsolódó szolgáltatások, a szoftveralapú fejlesztések és a robotikai megoldások is kiemelt szerepet kapnak.</w:t>
      </w:r>
    </w:p>
    <w:p>
      <w:pPr>
        <w:spacing w:after="100"/>
      </w:pPr>
      <w:r>
        <w:rPr>
          <w:sz w:val="22"/>
          <w:szCs w:val="22"/>
        </w:rPr>
        <w:t xml:space="preserve">A vállalat a részvényesek jutalmazását sem fogta vissza. Az éves osztalék részvényenként 95 jenre emelkedett, ami új rekordot jelent, a következő pénzügyi évre pedig már 100 jenes osztalékot prognosztizálnak.</w:t>
      </w:r>
    </w:p>
    <w:p>
      <w:pPr>
        <w:spacing w:after="100"/>
      </w:pPr>
      <w:r>
        <w:rPr>
          <w:sz w:val="22"/>
          <w:szCs w:val="22"/>
        </w:rPr>
        <w:t xml:space="preserve">A 2027-es pénzügyi évre a menedzsment óvatos előrejelzést adott: a működési eredmény 3 billió jenre csökkenhet. Ebben továbbra is komoly szerepet játszanak a geopolitikai kockázatok, az amerikai vámok, valamint a közel-keleti helyzetből eredő bizonytalanságok. Ugyanakkor a Toyota arra számít, hogy az elektrifikált modellek további térnyerése, a termelési hatékonyság javítása és az új mobilitási üzletágak hosszabb távon is erős növekedési pályára állíthatják a vállalatot.</w:t>
      </w:r>
    </w:p>
    <w:p>
      <w:pPr>
        <w:spacing w:after="100"/>
      </w:pPr>
      <w:r>
        <w:rPr>
          <w:sz w:val="22"/>
          <w:szCs w:val="22"/>
        </w:rPr>
        <w:t xml:space="preserve">A mostani eredmények egyik legfontosabb üzenete éppen az, hogy a Toyota még rendkívül kedvezőtlen globális környezetben is képes stabil nyereséget termelni, miközben tovább finanszírozza a jövő technológiáit és megőrzi piacvezető pozícióját az elektrifikáció korszakában.</w:t>
      </w:r>
    </w:p>
    <w:p>
      <w:pPr>
        <w:spacing w:after="100"/>
      </w:pPr>
      <w:r>
        <w:rPr>
          <w:sz w:val="22"/>
          <w:szCs w:val="22"/>
          <w:b/>
        </w:rPr>
        <w:t xml:space="preserve">Járműértékesítés a 2026-os üzleti évben (db)</w:t>
      </w:r>
    </w:p>
    <w:tbl>
      <w:tblPr>
        <w:tblStyle w:val="temp_table_style"/>
      </w:tblPr>
      <w:tblGrid>
        <w:gridCol w:w="3977" w:type="dxa"/>
        <w:gridCol w:w="118" w:type="dxa"/>
        <w:gridCol w:w="2128" w:type="dxa"/>
        <w:gridCol w:w="317" w:type="dxa"/>
        <w:gridCol w:w="800" w:type="dxa"/>
        <w:gridCol w:w="242" w:type="dxa"/>
        <w:gridCol w:w="558" w:type="dxa"/>
        <w:gridCol w:w="930" w:type="dxa"/>
      </w:tblGrid>
      <w:tr>
        <w:tc>
          <w:tcPr>
            <w:tcW w:w="417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355" w:type="dxa"/>
            <w:tcBorders>
              <w:top w:val="single" w:sz="10" w:color="000000"/>
              <w:left w:val="single" w:sz="10" w:color="000000"/>
              <w:right w:val="single" w:sz="10" w:color="000000"/>
              <w:bottom w:val="single" w:sz="10" w:color="000000"/>
            </w:tcBorders>
          </w:tcPr>
          <w:p>
            <w:pPr>
              <w:spacing w:after="100"/>
            </w:pPr>
            <w:r>
              <w:rPr>
                <w:sz w:val="22"/>
                <w:szCs w:val="22"/>
              </w:rPr>
              <w:t xml:space="preserve">2025</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2026</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Változás</w:t>
            </w:r>
          </w:p>
        </w:tc>
      </w:tr>
      <w:tr>
        <w:tc>
          <w:tcPr>
            <w:tcW w:w="4095" w:type="dxa"/>
            <w:tcBorders>
              <w:top w:val="single" w:sz="10" w:color="000000"/>
              <w:left w:val="single" w:sz="10" w:color="000000"/>
              <w:right w:val="single" w:sz="10" w:color="000000"/>
              <w:bottom w:val="single" w:sz="10" w:color="000000"/>
            </w:tcBorders>
          </w:tcPr>
          <w:p>
            <w:pPr>
              <w:spacing w:after="100"/>
            </w:pPr>
            <w:r>
              <w:rPr>
                <w:sz w:val="22"/>
                <w:szCs w:val="22"/>
              </w:rPr>
              <w:t xml:space="preserve">Toyota és Lexus együtt</w:t>
            </w:r>
          </w:p>
        </w:tc>
        <w:tc>
          <w:tcPr>
            <w:tcW w:w="2445" w:type="dxa"/>
            <w:tcBorders>
              <w:top w:val="single" w:sz="10" w:color="000000"/>
              <w:left w:val="single" w:sz="10" w:color="000000"/>
              <w:right w:val="single" w:sz="10" w:color="000000"/>
              <w:bottom w:val="single" w:sz="10" w:color="000000"/>
            </w:tcBorders>
          </w:tcPr>
          <w:p>
            <w:pPr>
              <w:spacing w:after="100"/>
            </w:pPr>
            <w:r>
              <w:rPr>
                <w:sz w:val="22"/>
                <w:szCs w:val="22"/>
              </w:rPr>
              <w:t xml:space="preserve">10274000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10477000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4095" w:type="dxa"/>
            <w:tcBorders>
              <w:top w:val="single" w:sz="10" w:color="000000"/>
              <w:left w:val="single" w:sz="10" w:color="000000"/>
              <w:right w:val="single" w:sz="10" w:color="000000"/>
              <w:bottom w:val="single" w:sz="10" w:color="000000"/>
            </w:tcBorders>
          </w:tcPr>
          <w:p>
            <w:pPr>
              <w:spacing w:after="100"/>
            </w:pPr>
            <w:r>
              <w:rPr>
                <w:sz w:val="22"/>
                <w:szCs w:val="22"/>
              </w:rPr>
              <w:t xml:space="preserve">Elektrifikált járművek összesen</w:t>
            </w:r>
          </w:p>
        </w:tc>
        <w:tc>
          <w:tcPr>
            <w:tcW w:w="2445" w:type="dxa"/>
            <w:tcBorders>
              <w:top w:val="single" w:sz="10" w:color="000000"/>
              <w:left w:val="single" w:sz="10" w:color="000000"/>
              <w:right w:val="single" w:sz="10" w:color="000000"/>
              <w:bottom w:val="single" w:sz="10" w:color="000000"/>
            </w:tcBorders>
          </w:tcPr>
          <w:p>
            <w:pPr>
              <w:spacing w:after="100"/>
            </w:pPr>
            <w:r>
              <w:rPr>
                <w:sz w:val="22"/>
                <w:szCs w:val="22"/>
              </w:rPr>
              <w:t xml:space="preserve">4732000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5040000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+6,5%</w:t>
            </w:r>
          </w:p>
        </w:tc>
      </w:tr>
      <w:tr>
        <w:tc>
          <w:tcPr>
            <w:tcW w:w="4095" w:type="dxa"/>
            <w:tcBorders>
              <w:top w:val="single" w:sz="10" w:color="000000"/>
              <w:left w:val="single" w:sz="10" w:color="000000"/>
              <w:right w:val="single" w:sz="10" w:color="000000"/>
              <w:bottom w:val="single" w:sz="10" w:color="000000"/>
            </w:tcBorders>
          </w:tcPr>
          <w:p>
            <w:pPr>
              <w:spacing w:after="100"/>
            </w:pPr>
            <w:r>
              <w:rPr>
                <w:sz w:val="22"/>
                <w:szCs w:val="22"/>
              </w:rPr>
              <w:t xml:space="preserve">Öntöltő hibrid</w:t>
            </w:r>
          </w:p>
        </w:tc>
        <w:tc>
          <w:tcPr>
            <w:tcW w:w="2445" w:type="dxa"/>
            <w:tcBorders>
              <w:top w:val="single" w:sz="10" w:color="000000"/>
              <w:left w:val="single" w:sz="10" w:color="000000"/>
              <w:right w:val="single" w:sz="10" w:color="000000"/>
              <w:bottom w:val="single" w:sz="10" w:color="000000"/>
            </w:tcBorders>
          </w:tcPr>
          <w:p>
            <w:pPr>
              <w:spacing w:after="100"/>
            </w:pPr>
            <w:r>
              <w:rPr>
                <w:sz w:val="22"/>
                <w:szCs w:val="22"/>
              </w:rPr>
              <w:t xml:space="preserve">4425000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4620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+4,4%</w:t>
            </w:r>
          </w:p>
        </w:tc>
      </w:tr>
      <w:tr>
        <w:tc>
          <w:tcPr>
            <w:tcW w:w="4095" w:type="dxa"/>
            <w:tcBorders>
              <w:top w:val="single" w:sz="10" w:color="000000"/>
              <w:left w:val="single" w:sz="10" w:color="000000"/>
              <w:right w:val="single" w:sz="10" w:color="000000"/>
              <w:bottom w:val="single" w:sz="10" w:color="000000"/>
            </w:tcBorders>
          </w:tcPr>
          <w:p>
            <w:pPr>
              <w:spacing w:after="100"/>
            </w:pPr>
            <w:r>
              <w:rPr>
                <w:sz w:val="22"/>
                <w:szCs w:val="22"/>
              </w:rPr>
              <w:t xml:space="preserve">Plug-in hibrid</w:t>
            </w:r>
          </w:p>
        </w:tc>
        <w:tc>
          <w:tcPr>
            <w:tcW w:w="2445" w:type="dxa"/>
            <w:tcBorders>
              <w:top w:val="single" w:sz="10" w:color="000000"/>
              <w:left w:val="single" w:sz="10" w:color="000000"/>
              <w:right w:val="single" w:sz="10" w:color="000000"/>
              <w:bottom w:val="single" w:sz="10" w:color="000000"/>
            </w:tcBorders>
          </w:tcPr>
          <w:p>
            <w:pPr>
              <w:spacing w:after="100"/>
            </w:pPr>
            <w:r>
              <w:rPr>
                <w:sz w:val="22"/>
                <w:szCs w:val="22"/>
              </w:rPr>
              <w:t xml:space="preserve">161000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175000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+8,6%</w:t>
            </w:r>
          </w:p>
        </w:tc>
      </w:tr>
      <w:tr>
        <w:tc>
          <w:tcPr>
            <w:tcW w:w="4095" w:type="dxa"/>
            <w:tcBorders>
              <w:top w:val="single" w:sz="10" w:color="000000"/>
              <w:left w:val="single" w:sz="10" w:color="000000"/>
              <w:right w:val="single" w:sz="10" w:color="000000"/>
              <w:bottom w:val="single" w:sz="10" w:color="000000"/>
            </w:tcBorders>
          </w:tcPr>
          <w:p>
            <w:pPr>
              <w:spacing w:after="100"/>
            </w:pPr>
            <w:r>
              <w:rPr>
                <w:sz w:val="22"/>
                <w:szCs w:val="22"/>
              </w:rPr>
              <w:t xml:space="preserve">Elektromos jármű</w:t>
            </w:r>
          </w:p>
        </w:tc>
        <w:tc>
          <w:tcPr>
            <w:tcW w:w="2445" w:type="dxa"/>
            <w:tcBorders>
              <w:top w:val="single" w:sz="10" w:color="000000"/>
              <w:left w:val="single" w:sz="10" w:color="000000"/>
              <w:right w:val="single" w:sz="10" w:color="000000"/>
              <w:bottom w:val="single" w:sz="10" w:color="000000"/>
            </w:tcBorders>
          </w:tcPr>
          <w:p>
            <w:pPr>
              <w:spacing w:after="100"/>
            </w:pPr>
            <w:r>
              <w:rPr>
                <w:sz w:val="22"/>
                <w:szCs w:val="22"/>
              </w:rPr>
              <w:t xml:space="preserve">145000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243000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+68,4%</w:t>
            </w:r>
          </w:p>
        </w:tc>
      </w:tr>
      <w:tr>
        <w:tc>
          <w:tcPr>
            <w:tcW w:w="4095" w:type="dxa"/>
            <w:tcBorders>
              <w:top w:val="single" w:sz="10" w:color="000000"/>
              <w:left w:val="single" w:sz="10" w:color="000000"/>
              <w:right w:val="single" w:sz="10" w:color="000000"/>
              <w:bottom w:val="single" w:sz="10" w:color="000000"/>
            </w:tcBorders>
          </w:tcPr>
          <w:p>
            <w:pPr>
              <w:spacing w:after="100"/>
            </w:pPr>
            <w:r>
              <w:rPr>
                <w:sz w:val="22"/>
                <w:szCs w:val="22"/>
              </w:rPr>
              <w:t xml:space="preserve">Üzemanyagcellás jármű</w:t>
            </w:r>
          </w:p>
        </w:tc>
        <w:tc>
          <w:tcPr>
            <w:tcW w:w="2445" w:type="dxa"/>
            <w:tcBorders>
              <w:top w:val="single" w:sz="10" w:color="000000"/>
              <w:left w:val="single" w:sz="10" w:color="000000"/>
              <w:right w:val="single" w:sz="10" w:color="000000"/>
              <w:bottom w:val="single" w:sz="10" w:color="000000"/>
            </w:tcBorders>
          </w:tcPr>
          <w:p>
            <w:pPr>
              <w:spacing w:after="100"/>
            </w:pPr>
            <w:r>
              <w:rPr>
                <w:sz w:val="22"/>
                <w:szCs w:val="22"/>
              </w:rPr>
              <w:t xml:space="preserve">1000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815</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-18,5%</w:t>
            </w:r>
          </w:p>
        </w:tc>
      </w:tr>
      <w:tr>
        <w:tc>
          <w:tcPr>
            <w:tcW w:w="4095" w:type="dxa"/>
            <w:tcBorders>
              <w:top w:val="single" w:sz="10" w:color="000000"/>
              <w:left w:val="single" w:sz="10" w:color="000000"/>
              <w:right w:val="single" w:sz="10" w:color="000000"/>
              <w:bottom w:val="single" w:sz="10" w:color="000000"/>
            </w:tcBorders>
          </w:tcPr>
          <w:p>
            <w:pPr>
              <w:spacing w:after="100"/>
            </w:pPr>
            <w:r>
              <w:rPr>
                <w:sz w:val="22"/>
                <w:szCs w:val="22"/>
                <w:b/>
              </w:rPr>
              <w:t xml:space="preserve">Összesen</w:t>
            </w:r>
          </w:p>
        </w:tc>
        <w:tc>
          <w:tcPr>
            <w:tcW w:w="2445" w:type="dxa"/>
            <w:tcBorders>
              <w:top w:val="single" w:sz="10" w:color="000000"/>
              <w:left w:val="single" w:sz="10" w:color="000000"/>
              <w:right w:val="single" w:sz="10" w:color="000000"/>
              <w:bottom w:val="single" w:sz="10" w:color="000000"/>
            </w:tcBorders>
          </w:tcPr>
          <w:p>
            <w:pPr>
              <w:spacing w:after="100"/>
            </w:pPr>
            <w:r>
              <w:rPr>
                <w:sz w:val="22"/>
                <w:szCs w:val="22"/>
                <w:b/>
              </w:rPr>
              <w:t xml:space="preserve">11011000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11283000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+2,5%</w:t>
            </w:r>
          </w:p>
        </w:tc>
      </w:tr>
    </w:tbl>
    <w:p/>
    <w:p>
      <w:pPr>
        <w:spacing w:after="100"/>
      </w:pPr>
      <w:r>
        <w:rPr>
          <w:sz w:val="22"/>
          <w:szCs w:val="22"/>
          <w:b/>
        </w:rPr>
        <w:t xml:space="preserve">Konszolidált pénzügyi eredmények (milliárd jen)</w:t>
      </w:r>
    </w:p>
    <w:tbl>
      <w:tblPr>
        <w:tblStyle w:val="temp_table_style"/>
      </w:tblPr>
      <w:tblGrid>
        <w:gridCol w:w="2370" w:type="dxa"/>
        <w:gridCol w:w="2415" w:type="dxa"/>
        <w:gridCol w:w="1845" w:type="dxa"/>
        <w:gridCol w:w="1620" w:type="dxa"/>
      </w:tblGrid>
      <w:tr>
        <w:tc>
          <w:tcPr>
            <w:tcW w:w="237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415" w:type="dxa"/>
            <w:tcBorders>
              <w:top w:val="single" w:sz="10" w:color="000000"/>
              <w:left w:val="single" w:sz="10" w:color="000000"/>
              <w:right w:val="single" w:sz="10" w:color="000000"/>
              <w:bottom w:val="single" w:sz="10" w:color="000000"/>
            </w:tcBorders>
          </w:tcPr>
          <w:p>
            <w:pPr>
              <w:spacing w:after="100"/>
            </w:pPr>
            <w:r>
              <w:rPr>
                <w:sz w:val="22"/>
                <w:szCs w:val="22"/>
              </w:rPr>
              <w:t xml:space="preserve">2024.04 – 2025.03.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2025.04 – 2026.03</w:t>
            </w:r>
          </w:p>
        </w:tc>
        <w:tc>
          <w:tcPr>
            <w:tcW w:w="1620" w:type="dxa"/>
            <w:tcBorders>
              <w:top w:val="single" w:sz="10" w:color="000000"/>
              <w:left w:val="single" w:sz="10" w:color="000000"/>
              <w:right w:val="single" w:sz="10" w:color="000000"/>
              <w:bottom w:val="single" w:sz="10" w:color="000000"/>
            </w:tcBorders>
          </w:tcPr>
          <w:p>
            <w:pPr>
              <w:spacing w:after="100"/>
            </w:pPr>
            <w:r>
              <w:rPr>
                <w:sz w:val="22"/>
                <w:szCs w:val="22"/>
              </w:rPr>
              <w:t xml:space="preserve">Változás</w:t>
            </w:r>
          </w:p>
        </w:tc>
      </w:tr>
      <w:tr>
        <w:tc>
          <w:tcPr>
            <w:tcW w:w="2370" w:type="dxa"/>
            <w:tcBorders>
              <w:top w:val="single" w:sz="10" w:color="000000"/>
              <w:left w:val="single" w:sz="10" w:color="000000"/>
              <w:right w:val="single" w:sz="10" w:color="000000"/>
              <w:bottom w:val="single" w:sz="10" w:color="000000"/>
            </w:tcBorders>
          </w:tcPr>
          <w:p>
            <w:pPr>
              <w:spacing w:after="100"/>
            </w:pPr>
            <w:r>
              <w:rPr>
                <w:sz w:val="22"/>
                <w:szCs w:val="22"/>
              </w:rPr>
              <w:t xml:space="preserve">Értékesítési bevétel</w:t>
            </w:r>
          </w:p>
        </w:tc>
        <w:tc>
          <w:tcPr>
            <w:tcW w:w="2415" w:type="dxa"/>
            <w:tcBorders>
              <w:top w:val="single" w:sz="10" w:color="000000"/>
              <w:left w:val="single" w:sz="10" w:color="000000"/>
              <w:right w:val="single" w:sz="10" w:color="000000"/>
              <w:bottom w:val="single" w:sz="10" w:color="000000"/>
            </w:tcBorders>
          </w:tcPr>
          <w:p>
            <w:pPr>
              <w:spacing w:after="100"/>
            </w:pPr>
            <w:r>
              <w:rPr>
                <w:sz w:val="22"/>
                <w:szCs w:val="22"/>
              </w:rPr>
              <w:t xml:space="preserve">48036,7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50684,8</w:t>
            </w:r>
          </w:p>
        </w:tc>
        <w:tc>
          <w:tcPr>
            <w:tcW w:w="1620" w:type="dxa"/>
            <w:tcBorders>
              <w:top w:val="single" w:sz="10" w:color="000000"/>
              <w:left w:val="single" w:sz="10" w:color="000000"/>
              <w:right w:val="single" w:sz="10" w:color="000000"/>
              <w:bottom w:val="single" w:sz="10" w:color="000000"/>
            </w:tcBorders>
          </w:tcPr>
          <w:p>
            <w:pPr>
              <w:spacing w:after="100"/>
            </w:pPr>
            <w:r>
              <w:rPr>
                <w:sz w:val="22"/>
                <w:szCs w:val="22"/>
              </w:rPr>
              <w:t xml:space="preserve">+2648,2</w:t>
            </w:r>
          </w:p>
        </w:tc>
      </w:tr>
      <w:tr>
        <w:tc>
          <w:tcPr>
            <w:tcW w:w="2370" w:type="dxa"/>
            <w:tcBorders>
              <w:top w:val="single" w:sz="10" w:color="000000"/>
              <w:left w:val="single" w:sz="10" w:color="000000"/>
              <w:right w:val="single" w:sz="10" w:color="000000"/>
              <w:bottom w:val="single" w:sz="10" w:color="000000"/>
            </w:tcBorders>
          </w:tcPr>
          <w:p>
            <w:pPr>
              <w:spacing w:after="100"/>
            </w:pPr>
            <w:r>
              <w:rPr>
                <w:sz w:val="22"/>
                <w:szCs w:val="22"/>
              </w:rPr>
              <w:t xml:space="preserve">Működési bevétel</w:t>
            </w:r>
          </w:p>
        </w:tc>
        <w:tc>
          <w:tcPr>
            <w:tcW w:w="2415" w:type="dxa"/>
            <w:tcBorders>
              <w:top w:val="single" w:sz="10" w:color="000000"/>
              <w:left w:val="single" w:sz="10" w:color="000000"/>
              <w:right w:val="single" w:sz="10" w:color="000000"/>
              <w:bottom w:val="single" w:sz="10" w:color="000000"/>
            </w:tcBorders>
          </w:tcPr>
          <w:p>
            <w:pPr>
              <w:spacing w:after="100"/>
            </w:pPr>
            <w:r>
              <w:rPr>
                <w:sz w:val="22"/>
                <w:szCs w:val="22"/>
              </w:rPr>
              <w:t xml:space="preserve">4795,5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3766,2</w:t>
            </w:r>
          </w:p>
        </w:tc>
        <w:tc>
          <w:tcPr>
            <w:tcW w:w="1620" w:type="dxa"/>
            <w:tcBorders>
              <w:top w:val="single" w:sz="10" w:color="000000"/>
              <w:left w:val="single" w:sz="10" w:color="000000"/>
              <w:right w:val="single" w:sz="10" w:color="000000"/>
              <w:bottom w:val="single" w:sz="10" w:color="000000"/>
            </w:tcBorders>
          </w:tcPr>
          <w:p>
            <w:pPr>
              <w:spacing w:after="100"/>
            </w:pPr>
            <w:r>
              <w:rPr>
                <w:sz w:val="22"/>
                <w:szCs w:val="22"/>
              </w:rPr>
              <w:t xml:space="preserve">-1029,3</w:t>
            </w:r>
          </w:p>
        </w:tc>
      </w:tr>
      <w:tr>
        <w:tc>
          <w:tcPr>
            <w:tcW w:w="2370" w:type="dxa"/>
            <w:tcBorders>
              <w:top w:val="single" w:sz="10" w:color="000000"/>
              <w:left w:val="single" w:sz="10" w:color="000000"/>
              <w:right w:val="single" w:sz="10" w:color="000000"/>
              <w:bottom w:val="single" w:sz="10" w:color="000000"/>
            </w:tcBorders>
          </w:tcPr>
          <w:p>
            <w:pPr>
              <w:spacing w:after="100"/>
            </w:pPr>
            <w:r>
              <w:rPr>
                <w:sz w:val="22"/>
                <w:szCs w:val="22"/>
              </w:rPr>
              <w:t xml:space="preserve">Haszon</w:t>
            </w:r>
          </w:p>
        </w:tc>
        <w:tc>
          <w:tcPr>
            <w:tcW w:w="241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7,4%</w:t>
            </w:r>
          </w:p>
        </w:tc>
        <w:tc>
          <w:tcPr>
            <w:tcW w:w="162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r>
      <w:tr>
        <w:tc>
          <w:tcPr>
            <w:tcW w:w="2370" w:type="dxa"/>
            <w:tcBorders>
              <w:top w:val="single" w:sz="10" w:color="000000"/>
              <w:left w:val="single" w:sz="10" w:color="000000"/>
              <w:right w:val="single" w:sz="10" w:color="000000"/>
              <w:bottom w:val="single" w:sz="10" w:color="000000"/>
            </w:tcBorders>
          </w:tcPr>
          <w:p>
            <w:pPr>
              <w:spacing w:after="100"/>
            </w:pPr>
            <w:r>
              <w:rPr>
                <w:sz w:val="22"/>
                <w:szCs w:val="22"/>
              </w:rPr>
              <w:t xml:space="preserve">Egyéb bevétel</w:t>
            </w:r>
          </w:p>
        </w:tc>
        <w:tc>
          <w:tcPr>
            <w:tcW w:w="2415" w:type="dxa"/>
            <w:tcBorders>
              <w:top w:val="single" w:sz="10" w:color="000000"/>
              <w:left w:val="single" w:sz="10" w:color="000000"/>
              <w:right w:val="single" w:sz="10" w:color="000000"/>
              <w:bottom w:val="single" w:sz="10" w:color="000000"/>
            </w:tcBorders>
          </w:tcPr>
          <w:p>
            <w:pPr>
              <w:spacing w:after="100"/>
            </w:pPr>
            <w:r>
              <w:rPr>
                <w:sz w:val="22"/>
                <w:szCs w:val="22"/>
              </w:rPr>
              <w:t xml:space="preserve">1619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1386,7</w:t>
            </w:r>
          </w:p>
        </w:tc>
        <w:tc>
          <w:tcPr>
            <w:tcW w:w="1620" w:type="dxa"/>
            <w:tcBorders>
              <w:top w:val="single" w:sz="10" w:color="000000"/>
              <w:left w:val="single" w:sz="10" w:color="000000"/>
              <w:right w:val="single" w:sz="10" w:color="000000"/>
              <w:bottom w:val="single" w:sz="10" w:color="000000"/>
            </w:tcBorders>
          </w:tcPr>
          <w:p>
            <w:pPr>
              <w:spacing w:after="100"/>
            </w:pPr>
            <w:r>
              <w:rPr>
                <w:sz w:val="22"/>
                <w:szCs w:val="22"/>
              </w:rPr>
              <w:t xml:space="preserve">-232,2</w:t>
            </w:r>
          </w:p>
        </w:tc>
      </w:tr>
      <w:tr>
        <w:tc>
          <w:tcPr>
            <w:tcW w:w="2370" w:type="dxa"/>
            <w:tcBorders>
              <w:top w:val="single" w:sz="10" w:color="000000"/>
              <w:left w:val="single" w:sz="10" w:color="000000"/>
              <w:right w:val="single" w:sz="10" w:color="000000"/>
              <w:bottom w:val="single" w:sz="10" w:color="000000"/>
            </w:tcBorders>
          </w:tcPr>
          <w:p>
            <w:pPr>
              <w:spacing w:after="100"/>
            </w:pPr>
            <w:r>
              <w:rPr>
                <w:sz w:val="22"/>
                <w:szCs w:val="22"/>
              </w:rPr>
              <w:t xml:space="preserve">Adózás előtti bevétel</w:t>
            </w:r>
          </w:p>
        </w:tc>
        <w:tc>
          <w:tcPr>
            <w:tcW w:w="2415" w:type="dxa"/>
            <w:tcBorders>
              <w:top w:val="single" w:sz="10" w:color="000000"/>
              <w:left w:val="single" w:sz="10" w:color="000000"/>
              <w:right w:val="single" w:sz="10" w:color="000000"/>
              <w:bottom w:val="single" w:sz="10" w:color="000000"/>
            </w:tcBorders>
          </w:tcPr>
          <w:p>
            <w:pPr>
              <w:spacing w:after="100"/>
            </w:pPr>
            <w:r>
              <w:rPr>
                <w:sz w:val="22"/>
                <w:szCs w:val="22"/>
              </w:rPr>
              <w:t xml:space="preserve">6415,5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5152,9</w:t>
            </w:r>
          </w:p>
        </w:tc>
        <w:tc>
          <w:tcPr>
            <w:tcW w:w="1620" w:type="dxa"/>
            <w:tcBorders>
              <w:top w:val="single" w:sz="10" w:color="000000"/>
              <w:left w:val="single" w:sz="10" w:color="000000"/>
              <w:right w:val="single" w:sz="10" w:color="000000"/>
              <w:bottom w:val="single" w:sz="10" w:color="000000"/>
            </w:tcBorders>
          </w:tcPr>
          <w:p>
            <w:pPr>
              <w:spacing w:after="100"/>
            </w:pPr>
            <w:r>
              <w:rPr>
                <w:sz w:val="22"/>
                <w:szCs w:val="22"/>
              </w:rPr>
              <w:t xml:space="preserve">-1261,5</w:t>
            </w:r>
          </w:p>
        </w:tc>
      </w:tr>
      <w:tr>
        <w:tc>
          <w:tcPr>
            <w:tcW w:w="2370" w:type="dxa"/>
            <w:tcBorders>
              <w:top w:val="single" w:sz="10" w:color="000000"/>
              <w:left w:val="single" w:sz="10" w:color="000000"/>
              <w:right w:val="single" w:sz="10" w:color="000000"/>
              <w:bottom w:val="single" w:sz="10" w:color="000000"/>
            </w:tcBorders>
          </w:tcPr>
          <w:p>
            <w:pPr>
              <w:spacing w:after="100"/>
            </w:pPr>
            <w:r>
              <w:rPr>
                <w:sz w:val="22"/>
                <w:szCs w:val="22"/>
              </w:rPr>
              <w:t xml:space="preserve">A TMC nettó bevétele</w:t>
            </w:r>
          </w:p>
        </w:tc>
        <w:tc>
          <w:tcPr>
            <w:tcW w:w="2415" w:type="dxa"/>
            <w:tcBorders>
              <w:top w:val="single" w:sz="10" w:color="000000"/>
              <w:left w:val="single" w:sz="10" w:color="000000"/>
              <w:right w:val="single" w:sz="10" w:color="000000"/>
              <w:bottom w:val="single" w:sz="10" w:color="000000"/>
            </w:tcBorders>
          </w:tcPr>
          <w:p>
            <w:pPr>
              <w:spacing w:after="100"/>
            </w:pPr>
            <w:r>
              <w:rPr>
                <w:sz w:val="22"/>
                <w:szCs w:val="22"/>
              </w:rPr>
              <w:t xml:space="preserve">4765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3848</w:t>
            </w:r>
          </w:p>
        </w:tc>
        <w:tc>
          <w:tcPr>
            <w:tcW w:w="1620" w:type="dxa"/>
            <w:tcBorders>
              <w:top w:val="single" w:sz="10" w:color="000000"/>
              <w:left w:val="single" w:sz="10" w:color="000000"/>
              <w:right w:val="single" w:sz="10" w:color="000000"/>
              <w:bottom w:val="single" w:sz="10" w:color="000000"/>
            </w:tcBorders>
          </w:tcPr>
          <w:p>
            <w:pPr>
              <w:spacing w:after="100"/>
            </w:pPr>
            <w:r>
              <w:rPr>
                <w:sz w:val="22"/>
                <w:szCs w:val="22"/>
              </w:rPr>
              <w:t xml:space="preserve">.916,9</w:t>
            </w:r>
          </w:p>
        </w:tc>
      </w:tr>
      <w:tr>
        <w:tc>
          <w:tcPr>
            <w:tcW w:w="2370" w:type="dxa"/>
            <w:tcBorders>
              <w:top w:val="single" w:sz="10" w:color="000000"/>
              <w:left w:val="single" w:sz="10" w:color="000000"/>
              <w:right w:val="single" w:sz="10" w:color="000000"/>
              <w:bottom w:val="single" w:sz="10" w:color="000000"/>
            </w:tcBorders>
          </w:tcPr>
          <w:p>
            <w:pPr>
              <w:spacing w:after="100"/>
            </w:pPr>
            <w:r>
              <w:rPr>
                <w:sz w:val="22"/>
                <w:szCs w:val="22"/>
              </w:rPr>
              <w:t xml:space="preserve">Haszon</w:t>
            </w:r>
          </w:p>
        </w:tc>
        <w:tc>
          <w:tcPr>
            <w:tcW w:w="2415" w:type="dxa"/>
            <w:tcBorders>
              <w:top w:val="single" w:sz="10" w:color="000000"/>
              <w:left w:val="single" w:sz="10" w:color="000000"/>
              <w:right w:val="single" w:sz="10" w:color="000000"/>
              <w:bottom w:val="single" w:sz="10" w:color="000000"/>
            </w:tcBorders>
          </w:tcPr>
          <w:p>
            <w:pPr>
              <w:spacing w:after="100"/>
            </w:pPr>
            <w:r>
              <w:rPr>
                <w:sz w:val="22"/>
                <w:szCs w:val="22"/>
              </w:rPr>
              <w:t xml:space="preserve">9,9%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7,6</w:t>
            </w:r>
          </w:p>
        </w:tc>
        <w:tc>
          <w:tcPr>
            <w:tcW w:w="162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r>
      <w:tr>
        <w:tc>
          <w:tcPr>
            <w:tcW w:w="237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41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62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r>
    </w:tbl>
    <w:p/>
    <w:p>
      <w:pPr>
        <w:spacing w:after="100"/>
      </w:pPr>
      <w:r>
        <w:rPr>
          <w:sz w:val="22"/>
          <w:szCs w:val="22"/>
        </w:rPr>
        <w:t xml:space="preserve">Fotók: </w:t>
      </w:r>
      <w:r>
        <w:rPr>
          <w:sz w:val="22"/>
          <w:szCs w:val="22"/>
          <w:i/>
          <w:iCs/>
        </w:rPr>
        <w:t xml:space="preserve">Toyota, Lexus</w:t>
      </w:r>
    </w:p>
    <w:p>
      <w:pPr>
        <w:spacing w:after="100"/>
      </w:pP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https://news.smartermedia.hu/nemzetkozi-hirek/tarifak-es-geopolitikai-feszultsegek-mellett-is-stabil-maradt-a-toyota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2026-05-08T21:18:55+02:00</dcterms:created>
  <dcterms:modified xsi:type="dcterms:W3CDTF">2026-05-08T21:18:55+02:00</dcterms:modified>
  <dc:title/>
  <dc:description/>
  <dc:subject/>
  <cp:keywords/>
  <cp:category/>
</cp:coreProperties>
</file>