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Teljesítménynövelő kitek az új Toyota GR Suprához</w:t>
      </w:r>
    </w:p>
    <w:p>
      <w:r>
        <w:rPr>
          <w:sz w:val="22"/>
          <w:szCs w:val="22"/>
          <w:b/>
        </w:rPr>
        <w:t xml:space="preserve">Az Akrapovič a sor elejére állt, és elsőként kínál sportkipufogót az új Toyota Suprához. Egy brit tuningműhely ennél sokkal tovább ment.</w:t>
      </w:r>
    </w:p>
    <w:p/>
    <w:p>
      <w:pPr>
        <w:spacing w:after="100"/>
      </w:pPr>
      <w:r>
        <w:rPr>
          <w:sz w:val="22"/>
          <w:szCs w:val="22"/>
        </w:rPr>
        <w:t xml:space="preserve">A Toyota Supra leginkább annak köszönheti hírnevét, hogy a negyedik generációs modell soros hathengeres motorja tökéletes alapot biztosított az akár ésszerűtlen mértékű teljesítménynövelésekhez is. Egyáltalán nem ritkák a 2000 lóerős vagy akár ennél is erősebb 2JZ blokkok, amelyek ráadásul a beavatkozást követően sem veszítik el hidegvérüket, azaz megbízhatóságukat. Ma még nem tudni, az ötödik kiadás is folytatja-e ezt a nagyszerű hagyományt, mindenesetre a kupé bevezetése után alig néhány hónappal máris megjelentek a piacon az első motortuning-csomagok.</w:t>
      </w:r>
    </w:p>
    <w:p>
      <w:pPr>
        <w:spacing w:after="100"/>
      </w:pPr>
      <w:r>
        <w:rPr>
          <w:sz w:val="22"/>
          <w:szCs w:val="22"/>
        </w:rPr>
        <w:t xml:space="preserve">Talán nem véletlen, hogy a szlovén Akrapovič lépett először, és készítette el a Supra kipufogórendszerének egyedi, típusra szabott átiratát. Első lépésben titán ötvözetből gyártott, központi hangtompítót és a „kipufogók piacán korábban soha nem látott, egyedi végcsöveket” kínálnak. Ez kiegészíthető a teljes kipufogórendszer cseréjével járó, nemesacél csomaggal, valamint egy hangtuninggal. Utóbbiakról jó tudni, hogy sok megoldáshoz hasonlóan nem teljesítik az uniós zaj- és károsanyag-kibocsátási előírásokat, ellenben csökkentik az autó tömegét, némileg finomítják a teljesítmény- és nyomatékkifejtést, és értelemszerűen ércesebb hangot kölcsönöznek a Supra soros hathengeres motorjának.</w:t>
      </w:r>
    </w:p>
    <w:p>
      <w:pPr>
        <w:spacing w:after="100"/>
      </w:pPr>
      <w:r>
        <w:rPr>
          <w:sz w:val="22"/>
          <w:szCs w:val="22"/>
        </w:rPr>
        <w:t xml:space="preserve">Az alábbi videón működés közben is megtekinthetjük a rendszert: </w:t>
      </w:r>
      <w:r>
        <w:rPr>
          <w:sz w:val="22"/>
          <w:szCs w:val="22"/>
          <w:b/>
        </w:rPr>
        <w:t xml:space="preserve">https://youtu.be/SmFfPFGo-Tg</w:t>
      </w:r>
    </w:p>
    <w:p>
      <w:pPr>
        <w:spacing w:after="100"/>
      </w:pPr>
      <w:r>
        <w:rPr>
          <w:sz w:val="22"/>
          <w:szCs w:val="22"/>
        </w:rPr>
        <w:t xml:space="preserve">Ha nem érjük be a teljesítményoptimalizálással, a brit Litchfield tuningműhelyhez fordulhatunk. Az átalakítást ők is a kipufogó cseréjével kezdik – ehhez az Akrapovič és a brit Milltek cégekkel konzultáltak. A szívó- és kipufogórendszerek átdolgozásával mintegy 30 lóerővel növelték meg a motor teljesítményét; ennek további háromszorosát nyerték a motorvezérlés átprogramozásával. Beavatkozásuk nyomán a Toyota Supra A90 gyárilag 340 lóerős motorja 456 lóerőre erősödött.</w:t>
      </w:r>
    </w:p>
    <w:p>
      <w:pPr>
        <w:spacing w:after="100"/>
      </w:pPr>
      <w:r>
        <w:rPr>
          <w:sz w:val="22"/>
          <w:szCs w:val="22"/>
        </w:rPr>
        <w:t xml:space="preserve">Habár a Litchfield, amely a későbbiekben olajhűtőt, toronykitámasztást, valamint sportfutóművet is kínál majd az autóhoz, nem részletezte a módosított Supra menetteljesítményeit, joggal feltételezzük, hogy a 0-100 km/h-s gyorsulás eredetileg 4,3 másodperces szintideje a bűvös négy másodperc alá kerül, és ezzel egy új, exkluzív elit klub tagjává válik a modell.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Akrapovič, pistonheads.com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Akrapovič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https://news.smartermedia.hu/nemzetkozi-hirek/teljesitmenynovelo-kitek-az-uj-toyota-gr-suprahoz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2026-07-03T00:24:44+02:00</dcterms:created>
  <dcterms:modified xsi:type="dcterms:W3CDTF">2026-07-03T00:24:44+02:00</dcterms:modified>
  <dc:title/>
  <dc:description/>
  <dc:subject/>
  <cp:keywords/>
  <cp:category/>
</cp:coreProperties>
</file>