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tüzesebb változatok készülnek a Toyota szupersportautójából</w:t>
      </w:r>
    </w:p>
    <w:p>
      <w:r>
        <w:rPr>
          <w:sz w:val="22"/>
          <w:szCs w:val="22"/>
          <w:b/>
        </w:rPr>
        <w:t xml:space="preserve">Még el sem kezdték a forgalmazását, a Gazoo Racing máris hozzálátott a GR GT sportautó továbbfejlesztéséhez. Nem is egy, hanem két szinten várható teljesítményfokozás.</w:t>
      </w:r>
    </w:p>
    <w:p/>
    <w:p>
      <w:pPr>
        <w:spacing w:after="100"/>
      </w:pPr>
      <w:r>
        <w:rPr>
          <w:sz w:val="22"/>
          <w:szCs w:val="22"/>
        </w:rPr>
        <w:t xml:space="preserve">A Toyota t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avaly decemberben rántotta le a leplet</w:t>
        </w:r>
      </w:hyperlink>
      <w:r>
        <w:rPr>
          <w:sz w:val="22"/>
          <w:szCs w:val="22"/>
        </w:rPr>
        <w:t xml:space="preserve"> fennállásának alighanem legizgalmasabb közúti típusáról. A GR GT kupé szíve egy 4.0 V8-as hibrid hajtáslánc 650 lóerővel és 850 Nm-rel, 320 km/órát meghaladó végsebességgel. A szupersportkocsival együtt annak versenyautó-változata, a GR GT3 is bemutatkozott, ám akadtak, akik már ekkor sejtették, hogy ezzel nem lehet teljes a paletta. Ez nem csak érzelmi kérdés, de racionális is: egy ilyen exkluzív konstrukció fejlesztési költségeit nagyban csökkenti, ha minél szélesebb ügyfélbázist tudnak megszólítani vele – ez is szerepet játszott abban,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 tisztán elektromos utódmodellje</w:t>
        </w:r>
      </w:hyperlink>
      <w:r>
        <w:rPr>
          <w:sz w:val="22"/>
          <w:szCs w:val="22"/>
        </w:rPr>
        <w:t xml:space="preserve"> is ugyanezt az alapvető platformot alkalmazza.</w:t>
      </w:r>
    </w:p>
    <w:p>
      <w:pPr>
        <w:spacing w:after="100"/>
      </w:pPr>
      <w:r>
        <w:rPr>
          <w:sz w:val="22"/>
          <w:szCs w:val="22"/>
        </w:rPr>
        <w:t xml:space="preserve">Ezzel azonban még távolról sincs vége a történetnek. A közelmúltban szemfüles fotósok a GR GT két álcázott prototípusát is lefotózták a Nürburgringen, ami csak egy dolgot jelenthet: további modellváltozatokat fejleszt a Toyota. </w:t>
      </w:r>
    </w:p>
    <w:p>
      <w:pPr>
        <w:spacing w:after="100"/>
      </w:pPr>
      <w:r>
        <w:rPr>
          <w:sz w:val="22"/>
          <w:szCs w:val="22"/>
        </w:rPr>
        <w:t xml:space="preserve">Az egyik autó első pillantásra nem sokban különbözik attól a szériaváltozattól, amely az elmúlt hónapokban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több fórumon is megmutatta magát</w:t>
        </w:r>
      </w:hyperlink>
      <w:r>
        <w:rPr>
          <w:sz w:val="22"/>
          <w:szCs w:val="22"/>
        </w:rPr>
        <w:t xml:space="preserve"> világszerte. Apró részletek azonban arról árulkodnak, hogy egy még inkább kiélezett verziót rejtenek az álcafóliák – a Toyota korábbi gyakorlata alapján ez minden bizonnyal egy </w:t>
      </w:r>
      <w:r>
        <w:rPr>
          <w:sz w:val="22"/>
          <w:szCs w:val="22"/>
          <w:i/>
          <w:iCs/>
        </w:rPr>
        <w:t xml:space="preserve">Gazoo Racing Masters of Nürburgring</w:t>
      </w:r>
      <w:r>
        <w:rPr>
          <w:sz w:val="22"/>
          <w:szCs w:val="22"/>
        </w:rPr>
        <w:t xml:space="preserve"> kiadás lesz, bár a GR GT GRMN modellnév inkább hangozna komikusan, mintsem tekintélyt parancsolóan. </w:t>
      </w:r>
    </w:p>
    <w:p>
      <w:pPr>
        <w:spacing w:after="100"/>
      </w:pPr>
      <w:r>
        <w:rPr>
          <w:sz w:val="22"/>
          <w:szCs w:val="22"/>
        </w:rPr>
        <w:t xml:space="preserve">Ami az álcázás ellenére is látható, azok az első lökhárító sarkaira rögzített leszorítóerőt növelő szárnyacskák, illetve a hátsó légterelő, amely méretében nem, de anyagában eltér a szériaverzió aerodinamikai kiegészítőjétől: a prototípuson karbon kompozitból formálták meg a fontos áramlástani szereppel bíró idomot. 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minimális külső módosítások alapján feltételezhető, hogy a motorteljesítmény nem változik, ugyanakkor áthangolhatják a sebességváltó vezérlését, feszesebb lengéscsillapítókat építhetnek be, és a még nagyobb teljesítményű fékrendszer sem kizárható.</w:t>
      </w:r>
    </w:p>
    <w:p>
      <w:pPr>
        <w:spacing w:after="100"/>
      </w:pPr>
      <w:r>
        <w:rPr>
          <w:sz w:val="22"/>
          <w:szCs w:val="22"/>
        </w:rPr>
        <w:t xml:space="preserve">Ennél nagyságrendekkel izgalmasabb a másik prototípus, amelyet leginkább a GR GT3 közúti kiadásaként tudunk azonosítani – magyarul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pályahasználatra optimalizált</w:t>
        </w:r>
      </w:hyperlink>
      <w:r>
        <w:rPr>
          <w:sz w:val="22"/>
          <w:szCs w:val="22"/>
        </w:rPr>
        <w:t xml:space="preserve">, a kényelmet a menetdinamika és a precizitás oltárán feláldozó, de a forgalomban való részvételhez előírt szerelvényekkel rendelkező modellváltozatról lehet szó. </w:t>
      </w:r>
    </w:p>
    <w:p>
      <w:pPr>
        <w:spacing w:after="100"/>
      </w:pPr>
      <w:r>
        <w:rPr>
          <w:sz w:val="22"/>
          <w:szCs w:val="22"/>
        </w:rPr>
        <w:t xml:space="preserve">A GR GT-hez képest ez a modellváltozat még több aerodinamikai kiegészítőt, új, szélesebb első kerékdobokat és különlegességként állítható légcserélő nyílásokat vonultat fel. Az autó farán látható, magas konzolra szerelt légterelő egyértelmű rokonságot mutat a GR GT3 azonos alkatrészével. Minden bizonnyal a zajkorlátozások és ütközésbiztonsági előírások betartása indokolta, hogy a versenyautó hatalmas hátsó diffúzora és specifikus kipufogó-elrendezése nem került át az utcai verzióra.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Ennél a modellnél jelentős tömegcsökkentéssel és teljesítménynöveléssel számolhatunk az utcai GR GT-hez képest: a hibrid hajtáslánc rendszerteljesítménye meghaladhatja a 700 lóerőt, a szériamodell 1750 kilogrammos menetkész tömege helyett pedig reálisan számolhatunk 1,6 tonna körüli értékkel.</w:t>
      </w:r>
    </w:p>
    <w:p>
      <w:pPr>
        <w:spacing w:after="100"/>
      </w:pPr>
      <w:r>
        <w:rPr>
          <w:sz w:val="22"/>
          <w:szCs w:val="22"/>
        </w:rPr>
        <w:t xml:space="preserve">Ez a két fejlesztés kitölthetné a mezei verzió és a versenyváltozat közötti űrt, és érdekfeszítő alternatívát biztosítana azon ügyfelek számára, akik a versenytársak hasonlóan hangolt típusairól nyergelnének át egy egzotikusabb opcióra – bármilyen szokatlan is ezt a jelzőt egy Toyotával kapcsolatban alkalmazni.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Képek forrása: </w:t>
      </w:r>
      <w:r>
        <w:rPr>
          <w:sz w:val="22"/>
          <w:szCs w:val="22"/>
          <w:i/>
          <w:iCs/>
        </w:rPr>
        <w:t xml:space="preserve">SH Proshots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https://news.smartermedia.hu/nemzetkozi-hirek/meg-tuzesebb-valtozatok-keszulnek-a-toyota-szupersportautojabol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2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s://news.smartermedia.hu/nemzetkozi-hirek/lexus-kereskedesekben-fogjak-arulni-a-toyota-szupersportkocsijat" TargetMode="External"/>
  <Relationship Id="rId11" Type="http://schemas.openxmlformats.org/officeDocument/2006/relationships/hyperlink" Target="https://news.smartermedia.hu/nemzetkozi-hirek/versenyszabalyok-miatt-szarvaztak-fel-a-toyota-gr-gt-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2026-10-25T19:26:23+01:00</dcterms:created>
  <dcterms:modified xsi:type="dcterms:W3CDTF">2026-10-25T19:26:23+01:00</dcterms:modified>
  <dc:title/>
  <dc:description/>
  <dc:subject/>
  <cp:keywords/>
  <cp:category/>
</cp:coreProperties>
</file>