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autógyártója</w:t>
      </w:r>
    </w:p>
    <w:p>
      <w:r>
        <w:rPr>
          <w:sz w:val="22"/>
          <w:szCs w:val="22"/>
          <w:b/>
        </w:rPr>
        <w:t xml:space="preserve">Közzétette a száz legértékesebb globális márkát rangsoroló listáját az Interbrand szervezet. Bár a gazdasági környezet radikális változásai nem kedveztek az autógyártóknak, a Toyota őrzi több mint húsz éve megszerzett elsőségét.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 mesterséges intelligencia térnyerése a globális gazdaságra is felmérhetetlen hatással volt. A márkáknak alapjaitól kezdve szükséges újragondolniuk létezésüket és stratégiájukat, hiszen a fogyasztók egyre nagyobb mértékben nem saját maguk választanak a rendelkezésre álló lehetőségek közül. Amikor a döntés egy részét már nem emberek hozzák, a márkáknak soha nem látott kihívásokkal kell szembe nézniük. Még nincs szó arról, hogy kihalnának, de a kiválasztódás felgyorsult: ha a márkák mennyisége meg is marad a világpiacon, elkerülhetetlenül csökkenni fog azok száma, amelyek valóban sikeresnek és befolyásosnak mondhatják magukat. Ebben a küzdelemben pedig a márkáknak meg kell hozniuk a döntést, hogy beszállnak-e az algoritmusok kegyeiért folyó háborúba, vagy olyan ikonikus branddé fejlődnek, amely képes megragadni a döntéshozás emberi oldalát, és a klasszikus eszközökön (márkahűség, tudatos választás) keresztül gondoskodnak a piaci eredményességről.</w:t>
      </w:r>
    </w:p>
    <w:p>
      <w:pPr>
        <w:spacing w:after="100"/>
      </w:pPr>
      <w:r>
        <w:rPr>
          <w:sz w:val="22"/>
          <w:szCs w:val="22"/>
        </w:rPr>
        <w:t xml:space="preserve">Ezekkel a gondolatokkal vezette fel 2026. évi Best Global Brands tanulmányát az Interbrand: az 1974-ben alapított tanácsadó szervezet, amely a márkastratégia, az analitika, az arculattervezés és a márkaérték-megállapítás egyik legelismertebb globális szakértője. A 2000 óta minden évben kiadott tanulmány nem csak a pillanatnyi állapotokat ismerteti, de azokra a márkákra és iparágakra is felhívja a figyelmet, amelyektől jelentős növekedésre lehet számítani a közeljövőben. A szempontok a kezdetektől fogva azonosak: a tanulmány a pénzügyi teljesítmény, a vásárlói döntést befolyásoló képesség és a jövőbeli stabilitás megteremtésének a képessége alapján határozza meg az egyes márkák értékét.</w:t>
      </w:r>
    </w:p>
    <w:p>
      <w:pPr>
        <w:spacing w:after="100"/>
      </w:pPr>
      <w:r>
        <w:rPr>
          <w:sz w:val="22"/>
          <w:szCs w:val="22"/>
        </w:rPr>
        <w:t xml:space="preserve">A nehézség ellenére – vagy inkább pont a megváltozott környezet miatt – 2026-ban soha nem látott magasságokba emelkedett a Top 100-as listán szereplő márkák összértéke: elérte a 3,9 billió dollárt, ami 8,1 százalékkal haladja meg a 2025-ös értéket. Csakhogy, amint a fentiek is érzékeltetik, nem mindenki részesült egyforma mértékben a fejlődésből. A tíz legértékesebb márka felét technológiai szereplők teszik ki, ez az iparág önmagában a teljes listaérték 48%-át teszi ki. Az NVIDIA például 71%-os növekedéssel úgy került be a Top 10-be, hogy 2023-ban még nem is szerepelt a listán.</w:t>
      </w:r>
    </w:p>
    <w:p>
      <w:r>
        <w:pict>
          <v:shape type="#_x0000_t75" style="width:800px;height:44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piaci változások egyik legnagyobb vesztese az autóipar, az ügyfélelvárások és a piaci környezet gyors változása miatt az iparág tizenhárom szereplője együttesen 56,95 milliárd dollárt veszített márkaértékéből. Ami nem változott: az elszenvedett értékvesztés ellenére a Toyota továbbra is magabiztosan őrzi 2004-ben megszerzett, és azóta nem eresztett elsőségét az autóipari szereplők között. Ugyanakkor az összesített listán, ahol az elmúlt négy évben stabilan tartotta hatodik helyét, idén hátrébb csúszott.</w:t>
      </w:r>
    </w:p>
    <w:p>
      <w:pPr>
        <w:spacing w:after="100"/>
      </w:pPr>
      <w:r>
        <w:rPr>
          <w:sz w:val="22"/>
          <w:szCs w:val="22"/>
        </w:rPr>
        <w:t xml:space="preserve">2026-ban ugyanaz a tizenhárom autógyártó szerepel a Best Global Brands listán, mint tavaly. Az év egyértelmű vesztese a Tesla, amely 38 százalékot megközelítő mértékben veszített értékéből, míg a legjobb teljesítményt a Ferrari mutatta +14,7 százalékkal. Az olasz luxusmárka sikere összecseng az Interbrand azon meglátásával, hogy ebben az új korban azok a márkák érhetnek el tartós eredményeket, amelyek új iparágakra is kiterjesztik tevékenységeiket, új piacokon mérettetik magukat, erősítik kulturális relevanciájukat, és figyelmet fordítanak a hosszú távú márkastratégia kialakítására. A Ferrari egyike annak a négy autómárkának, amely a globális listán képes volt javítani pozícióját.</w:t>
      </w:r>
    </w:p>
    <w:p>
      <w:pPr>
        <w:spacing w:after="100"/>
      </w:pPr>
      <w:r>
        <w:rPr>
          <w:sz w:val="22"/>
          <w:szCs w:val="22"/>
        </w:rPr>
        <w:t xml:space="preserve">A legértékesebb autómárkák, 2026</w:t>
      </w:r>
    </w:p>
    <w:tbl>
      <w:tblPr>
        <w:tblStyle w:val="temp_table_style"/>
      </w:tblPr>
      <w:tblGrid>
        <w:gridCol w:w="1905" w:type="dxa"/>
        <w:gridCol w:w="1815" w:type="dxa"/>
        <w:gridCol w:w="1875" w:type="dxa"/>
        <w:gridCol w:w="1905" w:type="dxa"/>
        <w:gridCol w:w="1530" w:type="dxa"/>
      </w:tblGrid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Iparágon belüli helyezés (2025)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Összesített helyezés (2025)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Márkaérték (2025), mrd USD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Márkaérték változása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(1)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(6)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59,5 (74,2)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-19,9%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(2)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(10)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40,8 (50,1)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-18,6%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(3)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(14)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38,4 (46,8)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-17,9%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(6)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(30)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25,0 (24,6)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(5)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(29)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19,4 (24,8)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-21,8%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(4)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 (25)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18,3 (29,5)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(8)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 (54)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17,7 (15,4)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+14,7%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(7)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 (52)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 (15,4)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-19,5%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(10)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 (57)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 (15,0)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-17,5%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(9)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 (56) 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 (15,0)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-23,0%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(12)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(89)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 (8,5)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+2,7%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(13)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(90)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(8,1)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+4,5%</w:t>
            </w:r>
          </w:p>
        </w:tc>
      </w:tr>
      <w:tr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(11)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 (82)</w:t>
            </w:r>
          </w:p>
        </w:tc>
        <w:tc>
          <w:tcPr>
            <w:tcW w:w="19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 (9,4)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-23,2%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márkaértéke 2017 – 2026 </w:t>
      </w:r>
    </w:p>
    <w:tbl>
      <w:tblPr>
        <w:tblStyle w:val="temp_table_style"/>
      </w:tblPr>
      <w:tblGrid>
        <w:gridCol w:w="825" w:type="dxa"/>
        <w:gridCol w:w="825" w:type="dxa"/>
        <w:gridCol w:w="825" w:type="dxa"/>
        <w:gridCol w:w="825" w:type="dxa"/>
        <w:gridCol w:w="825" w:type="dxa"/>
        <w:gridCol w:w="825" w:type="dxa"/>
        <w:gridCol w:w="825" w:type="dxa"/>
        <w:gridCol w:w="825" w:type="dxa"/>
        <w:gridCol w:w="825" w:type="dxa"/>
        <w:gridCol w:w="825" w:type="dxa"/>
        <w:gridCol w:w="825" w:type="dxa"/>
      </w:tblGrid>
      <w:tr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</w:t>
            </w:r>
          </w:p>
        </w:tc>
      </w:tr>
      <w:tr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Márkaérték (milliárd USD)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50,3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53,4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56,2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51,6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54,1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59,8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72,8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</w:t>
            </w:r>
          </w:p>
        </w:tc>
        <w:tc>
          <w:tcPr>
            <w:tcW w:w="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Grafika: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https://news.smartermedia.hu/nemzetkozi-hirek/tovabbra-is-a-toyota-a-vilag-legertekesebb-autogyartoja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2026-10-28T12:37:26+01:00</dcterms:created>
  <dcterms:modified xsi:type="dcterms:W3CDTF">2026-10-28T12:37:26+01:00</dcterms:modified>
  <dc:title/>
  <dc:description/>
  <dc:subject/>
  <cp:keywords/>
  <cp:category/>
</cp:coreProperties>
</file>